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UV.2008.00009 vom 11. September 2009</w:t>
      </w:r>
    </w:p>
    <w:p>
      <w:r>
        <w:t>ZH Sozialversicherungsgericht, 2009-09-11, DE</w:t>
      </w:r>
    </w:p>
    <w:p>
      <w:r>
        <w:rPr>
          <w:b/>
        </w:rPr>
        <w:t xml:space="preserve">Quelle: </w:t>
      </w:r>
      <w:r>
        <w:t>https://mcp.opencaselaw.ch/entscheid/zh_sozialversicherungsgericht_UV.2008.00009</w:t>
      </w:r>
    </w:p>
    <w:p>
      <w:r>
        <w:t>FR: ZH_SOZIALVERSICHERUNGSGERICHT UV.2008.00009 du 11 septembre 2009</w:t>
      </w:r>
    </w:p>
    <w:p>
      <w:r>
        <w:t>IT: ZH_SOZIALVERSICHERUNGSGERICHT UV.2008.00009 del 11 settembre 2009</w:t>
      </w:r>
    </w:p>
    <w:p>
      <w:pPr>
        <w:pStyle w:val="Heading2"/>
      </w:pPr>
      <w:r>
        <w:t>Erwägungen</w:t>
      </w:r>
    </w:p>
    <w:p>
      <w:r>
        <w:rPr>
          <w:b/>
        </w:rPr>
        <w:t>E. 1</w:t>
      </w:r>
    </w:p>
    <w:p>
      <w:r>
        <w:t>1.1Â Â Â Â  Nach dem Bundesgesetz Ã¼ber die Unfallversicherung (UVG) obligatorisch versichert sind die in der Schweiz beschÃ¤ftigten Arbeitnehmer, einschliesslich der Heimarbeiter, Lehrlinge, Praktikanten, VolontÃ¤re sowie der in Lehr- oder InvalidenwerkstÃ¤tten tÃ¤tigen Personen (Art. 1a Abs. 1 UVG).</w:t>
      </w:r>
    </w:p>
    <w:p>
      <w:r>
        <w:t>Â Â Â Â Â Â Â Â  GestÃ¼tzt auf Art. 4 Abs. 1 UVG kÃ¶nnen sich in der Schweiz wohnhafte SelbstÃ¤ndigerwerbende und ihre nicht obligatorisch versicherten mitarbeitenden Familienmitglieder freiwillig versichern. Die Bestimmungen Ã¼ber die obligatorische Versicherung gelten nach Art. 5 Abs. 1 UVG sinngemÃ¤ss fÃ¼r die freiwillige Versicherung, und in Art. 5 Abs. 2 UVG wird dem Bundesrat Ã¼bertragen, ergÃ¤nzende Vorschriften Ã¼ber die freiwillige Versicherung zu erlassen. Von dieser Kompetenz hat er mit den Vorschriften in Art. 134 ff. der Verordnung Ã¼ber die Unfallversicherung (UVV) Gebrauch gemacht.</w:t>
      </w:r>
    </w:p>
    <w:p>
      <w:r>
        <w:t>Â Â Â Â Â Â Â Â  Nach der Regelung in Art. 135 Abs. 1 UVV fÃ¼hren die jeweiligen Versicherer die freiwillige Versicherung durch fÃ¼r die Arbeitgeber der bei ihnen obligatorisch versicherten Arbeitnehmer sowie fÃ¼r mitarbeitende Familienmitglieder solcher Arbeitgeber. In Bezug auf die SelbstÃ¤ndigerwerbenden ohne Arbeitnehmer und die mitarbeitenden Familienmitglieder dieser SelbstÃ¤ndigerwerbenden nennt Art. 135 Abs. 2 UVV fÃ¼r die Berufszweige gemÃ¤ss Art. 66 Abs. 1 UVG die SUVA als DurchfÃ¼hrerin der freiwilligen Versicherung, und fÃ¼r die Ã¼brigen Berufe nennt Art. 135 Abs. 3 UVV die Ã¼brigen Versicherer nach Art. 68 UVG. GemÃ¤ss Art. 137 Abs. 1 lit. a UVV endet die freiwillige Versicherung mit der Aufgabe der selbstÃ¤ndigen ErwerbstÃ¤tigkeit oder der Mitarbeit als Familienmitglied oder mit dem Einbezug in die obligatorische Versicherung. Ferner endet sie gemÃ¤ss Art. 137 Abs. 1 lit. b UVV infolge KÃ¼ndigung oder Ausschluss.</w:t>
      </w:r>
    </w:p>
    <w:p>
      <w:r>
        <w:t>Â Â Â Â Â Â Â Â  Arbeitnehmer sind im Unfallversicherungsrecht rechtsprechungsgemÃ¤ss diejenigen Personen, die um des Erwerbes oder der Ausbildung willen fÃ¼r einen Arbeitgeber, mehr oder weniger untergeordnet, dauernd oder vorÃ¼bergehend tÃ¤tig sind, ohne hiebei ein eigenes wirtschaftliches Risiko tragen zu mÃ¼ssen. Dabei ist die Arbeitnehmereigenschaft unter WÃ¼rdigung der gesamten UmstÃ¤nde des Einzelfalles zu beurteilen, und es ist namentlich entscheidend, ob geleistete Arbeit, ein UnterordnungsverhÃ¤ltnis und die Vereinbarung eines Lohnanspruches in irgendeiner Form vorliegen (BGE 115 V 58 f. Erw. 2d). Die Beurteilung der Frage, ob eine Person obligatorisch versicherte Arbeitnehmerin oder aber Arbeitgeberin ist und damit dem Versicherungsobligatorium nicht untersteht, sich jedoch freiwillig unfallversichern kann, erfolgt damit nach vergleichbaren Abgrenzungskriterien wie im AHV-Recht. Insbesondere ist in beiden Versicherungszweigen die Ã¤ussere Erscheinungsform eines wirtschaftlichen Sachverhalts und nicht eine allfÃ¤llig davon abweichende interne Vereinbarung der Beteiligten massgebend (vgl. BGE 115 V 59 Erw. 2d).</w:t>
      </w:r>
    </w:p>
    <w:p>
      <w:r>
        <w:t>1.2Â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 Vor dem Inkrafttreten des ATSG am 1. Januar 2003 war der Unfallbegriff in Art. 9 Abs. 1 UVV vergleichbar definiert; an dessen Auslegung hat sich mit dem ATSG nichts geÃ¤ndert.</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1.4.3Â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einzubeziehen sind. Als solche Kriterien werden genannt:</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1.4.4Â Â Â Â Â Â Â Â  Rechtsprechung und Lehre anerkennen auch schreckbedingte plÃ¶tzliche EinflÃ¼sse auf die Psyche als Einwirkung auf den menschlichen KÃ¶rper im Sinne des Unfallbegriffes. FÃ¼r das zusÃ¤tzliche Begriffsmerkmal der UngewÃ¶hnlichkeit verlangt die Rechtsprechung hier, dass es sich um ein aussergewÃ¶hnliches Schreckereignis, verbunden mit einem entsprechenden psychischen Schock, handelt. Dabei muss die seelische Einwirkung durch einen gewaltsamen, in der unmittelbaren Gegenwart des Versicherten sich abspielenden Vorfall ausgelÃ¶st werden und in ihrer Ã¼berraschenden Heftigkeit geeignet sein, auch bei einem gesunden Menschen durch StÃ¶rung des seelischen Gleichgewichts typische Angst- und Schreckwirkungen hervorzurufen (BGE 129 V 179 f. Erw. 2.1).</w:t>
      </w:r>
    </w:p>
    <w:p>
      <w:r>
        <w:t>Â Â Â Â Â Â Â Â  In Anlehnung an die allgemeine Rechtsprechung zur AdÃ¤quanz der UnfallkausalitÃ¤t von psychischen GesundheitsschÃ¤den hat die hÃ¶chstrichterliche Rechtsprechung allerdings festgehalten, dass auch bei Schreckereignissen nicht nur die Reaktion eines psychisch gesunden Menschen als VergleichsgrÃ¶sse dienen kÃ¶nne, sondern dass in diesem Zusammenhang ebenfalls auf eine weite Bandbreite von Versicherten abzustellen sei (BGE 129 V 180 Erw. 2.1). Im Ãbrigen ist das EidgenÃ¶ssische Versicherungsgericht zum Schluss gelangt, dass die Ã¼blichen Kriterien fÃ¼r die Beurteilung des adÃ¤quaten Kausalzusammenhangs zwischen einem Unfall mit kÃ¶rperlichen Verletzungen und einer psychischen StÃ¶rung nicht geeignet seien fÃ¼r die Beurteilung der AdÃ¤quanz zwischen einem Schreckereignis ohne somatisches Geschehen und einer psychischen Problematik. Vielmehr sei bei solchen Schreckereignissen die allgemeine AdÃ¤quanzformel anzuwenden, es sei also nach dem gewÃ¶hnlichen Lauf der Dinge und der allgemeinen Lebenserfahrung zu fragen (BGE 129 V 184 f. Erw. 4.2). Diese allgemeine AdÃ¤quanzformel wendet die hÃ¶chstrichterliche Rechtsprechung zudem auch bei Schreckereignissen an, die zu gewissen somatischen BeeintrÃ¤chtigungen gefÃ¼hrt haben, wenn diese lediglich von untergeordneter Bedeutung sind und im Vergleich zum erlittenen psychischen Stress in den Hintergrund treten (Urteil des Bundesgerichts, I. sozialrechtliche Abteilung, in Sachen S. vom 14. April 2008, U 593/06, Erw. 3.2 mit Hinweisen und Erw. 3.3). Geht ein Schreckereignis hingegen mit erheblichen kÃ¶rperlichen Verletzungen einher, so gelangen nach der hÃ¶chstrichterlichen Rechtsprechung die AdÃ¤quanzkriterien nach BGE 115 V 140 Erw. 6c/aa zur Anwendung (Urteil des Bundesgerichts, I. sozialrechtliche Abteilung, in Sachen J. vom 31. Juli 2008, 8C_531/2007, Erw. 4.1 und Erw. 4.2).</w:t>
      </w:r>
    </w:p>
    <w:p>
      <w:r>
        <w:t>1.5Â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2.Â Â Â Â Â Â  Strittig und zu prÃ¼fen ist, ob die Beschwerdegegnerin fÃ¼r die Folgen des Ereignisses vom 1. November 2002 leistungspflichtig ist. Dabei kann Gegenstand des vorliegenden Verfahrens nur die Leistungspflicht aus der Versicherung des BeschwerdefÃ¼hrers 2 nach UVG (Police Nr.___) sein. Denn wie die Beschwerdegegnerin in der Beschwerdeantwort zutreffend ausfÃ¼hrt (Urk. 8 S. 4), kann nur Ã¼ber Leistungen aus der UVG-Versicherung gestÃ¼tzt auf Art. 49 und auf Art. 52 ATSG mit VerfÃ¼gung und Einspracheentscheid befunden werden. Der angefochtene Einspracheentscheid vom 10. Dezember 2007 (Urk. 2) und die ihm zugrunde liegende VerfÃ¼gung vom 20. Juli 2007 (Urk. 9/Z108) beziehen sich demnach nur auf diese Leistungen. Ebenfalls zutreffend weist die Beschwerdegegnerin darauf hin (vgl. Urk. 8 S. 4 f.), dass es sich bei einer Zusatzversicherung zur UVG-Versicherung nicht um eine Zusatzversicherung zur sozialen Krankenversicherung im Sinne von Art. 85 Abs. 2 des Versicherungsaufsichtsgesetzes (VAG) in Verbindung mit Art. 12 Abs. 2 des Bundesgesetzes Ã¼ber die Krankenversicherung (KVG) handelt. Es besteht deshalb auch keine ZustÃ¤ndigkeit des Sozialversicherungsgerichts im Klageverfahren (Â§ 2 Abs. 2 lit. b des Gesetzes Ã¼ber das Sozialversicherungsgericht [GSVGer]). Soweit der BeschwerdefÃ¼hrer 2 somit auch Leistungen aus der Unfall-Zusatzversicherung (Police Nr. ___) verlangt (vgl. Urk. 4/1 S. 2, Urk. 23 S. 2), so kann darauf nicht eingetreten werden.</w:t>
      </w:r>
    </w:p>
    <w:p>
      <w:r>
        <w:rPr>
          <w:b/>
        </w:rPr>
        <w:t>E. 3</w:t>
      </w:r>
    </w:p>
    <w:p>
      <w:r>
        <w:t>3.1Â Â Â Â  Mit der zur Diskussion stehenden Versicherung nach UVG gemÃ¤ss der Police Nr. ___ wurde der BeschwerdefÃ¼hrer 2, wie aus der vorstehenden Sachverhaltsdarstellung hervorgeht, gestÃ¼tzt auf Art. 4 Abs. 1 UVG als selbstÃ¤ndiger Betriebsinhaber (freiwillig) versichert. Im Hauptstandpunkt verneint die Beschwerdegegnerin ihre Leistungspflicht aus dieser Versicherung mit der BegrÃ¼ndung, der BeschwerdefÃ¼hrer 2 sei im Zeitpunkt des Ereignisses vom 1. November 2002 nicht mehr selbstÃ¤ndiger Betriebsinhaber gewesen, sondern habe in den Betrieben seiner Ehefrau als Arbeitnehmer oder als Familienmitglied gearbeitet und sei in dieser Eigenschaft nicht bei ihr, sondern bei derjenigen Gesellschaft unfallversichert, bei der auch seine Ehefrau und die Ã¼brigen Arbeitnehmer versichert seien, nÃ¤mlich der Z.___ (Urk. 9/Z108 S. 13 f., Urk. 2 S. 3 ff., Urk. 8 S. 3, Urk. 16, Urk. 29 S. 3 ff.).</w:t>
      </w:r>
    </w:p>
    <w:p>
      <w:r>
        <w:rPr>
          <w:b/>
        </w:rPr>
        <w:t>E. 3.2</w:t>
      </w:r>
    </w:p>
    <w:p>
      <w:r>
        <w:t>3.2.1Â Â  Bis zum Versicherungsabschluss im Jahr 1992 hatte der BeschwerdefÃ¼hrer 2 gemÃ¤ss der Sachverhaltsdarstellung im Gutachten des G.___ und den Eintragungen im Auszug aus seinem individuellen Konto vom 29. November 2004 in unselbstÃ¤ndiger Stellung den technischen Service an Spielautomaten ausgefÃ¼hrt (Urk. 43/103 S. 8, Urk. 9/Z40). Den medizinischen Berichten zum Unfall vom 2. Juli 1993 (Arztzeugnis UVG von med. pract. H.___ vom 8. April 1994, Urk. 36/ZM7; Bericht von Dr. med. J.___, Spezialarzt fÃ¼r Chirurgie, vom 12. Januar 1995, Urk. 36/ZM10 S. 4) ist zu entnehmen, dass es diese Art der TÃ¤tigkeit war, die der BeschwerdefÃ¼hrer 2 in der Folgezeit im Rahmen eines Einmannbetriebs weiterfÃ¼hrte. FÃ¼r die ersten Jahre ab 1992 stellte die Beschwerdegegnerin den selbstÃ¤ndigen Charakter dieser ErwerbstÃ¤tigkeit nicht in Frage (vgl. Urk. 8 S. 3). Nach ihrer Auffassung wandelte sich dieser Charakter in der Folge aber durch die Ausgestaltung der Zusammenarbeit zwischen dem BeschwerdefÃ¼hrer 2 und seiner zweiten Ehefrau.</w:t>
      </w:r>
    </w:p>
    <w:p>
      <w:r>
        <w:t>3.2.2Â Â  Der Sachverhalt hierzu ist an sich unbestritten. GemÃ¤ss den Angaben im Bericht der IV-Stelle vom 13. Juni 2006 Ã¼ber die betrieblichen AbklÃ¤rungen arbeitete der BeschwerdefÃ¼hrer 2 ab 1997 zusammen mit seiner spÃ¤teren zweiten Ehefrau in verschiedenen Spielsalons; deren Betrieb erfolgte im Rahmen einer Einzelfirma, als deren Inhaberin die Ehefrau figurierte. Die Aufgaben des BeschwerdefÃ¼hrers 2 umfassten die Service- und Technikerarbeiten, die Reparaturen und die Kassenabrechnung, wÃ¤hrenddem die spÃ¤tere Ehefrau fÃ¼r die Organisation und das BÃ¼ro zustÃ¤ndig war (Urk. 9/Z102 S. 3).</w:t>
      </w:r>
    </w:p>
    <w:p>
      <w:r>
        <w:t>Â Â Â Â Â Â Â Â  Allein aus dem Umstand, dass die spÃ¤tere Ehefrau des BeschwerdefÃ¼hrers 2 als GeschÃ¤ftsinhaberin auftrat und die Aufgaben der GeschÃ¤ftsfÃ¼hrung wahrnahm (vgl. Urk. 9/Z102 S. 2), lÃ¤sst sich allerdings noch nicht ableiten, dass der BeschwerdefÃ¼hrer 2 seinen Aufgabenbereich im VerhÃ¤ltnis zu demjenigen seiner spÃ¤teren Ehefrau in einem UnterordnungsverhÃ¤ltnis versah. Gegen ein solches UnterordnungsverhÃ¤ltnis spricht vielmehr, dass der BeschwerdefÃ¼hrer 2 sich im GesprÃ¤ch Ã¼ber seine berufliche TÃ¤tigkeit an den verschiedensten Stellen - nicht nur dort, wo explizit seine Position im GeschÃ¤ft zur Diskussion stand - als selbstÃ¤ndig tÃ¤tig bezeichnete. Namentlich ist schon im Bericht der Neurologischen Klinik des Spitals B.___ Ã¼ber die Notfalluntersuchung vom 4. November 2002 festgehalten, der BeschwerdefÃ¼hrer 2 sei Besitzer mehrerer Spielsalons (Urk. 9/ZM1 S. 2), und auch die Psychiatrische Poliklinik des Spitals B.___ ging in einem Bericht vom 19. Januar 2004 davon aus, dass der BeschwerdefÃ¼hrer 2 selbstÃ¤ndiger Unternehmer sei (Urk. 9/ZM4 S. 2). In Entsprechung dazu findet sich im AbklÃ¤rungsbericht der IV-Stelle die Formulierung, der BeschwerdefÃ¼hrer 2 habe ab 1997 gemeinsam mit seiner spÃ¤teren Ehefrau ein GeschÃ¤ft aufgebaut, wobei nach und nach verschiedene Spielsalons Ã¼bernommen worden seien (Urk. 9/Z102 S. 2), und nach der Darstellung im Gutachten des G.___ vom 18. November 2008 war der BeschwerdefÃ¼hrer 2 in seinem Spielsalon Ã¼berfallen worden (Urk. 43/103 S. 10). In einem gewissen Widerspruch dazu steht eine Angabe des BeschwerdefÃ¼hrers 2 gegenÃ¼ber Dr. E.___, dass er sein eigenes GeschÃ¤ft nach einer HalswirbelsÃ¤ulenverletzung (vgl. hierzu die Unterlagen in Urk. 35/0-17 und Urk. 35/ZM1-14) nicht mehr habe halten kÃ¶nnen und nun angefangen habe, fÃ¼r seine zweite Ehefrau zu arbeiten (Urk. 9/ZM10 S. 10), was wiederum divergiert mit seiner Aussage bei der Begutachtung durch das G.___, dass er die Spielsalons seiner zweiten Ehefrau Ã¼berschrieben habe, um seine erste Ehefrau nicht finanziell unterstÃ¼tzen zu mÃ¼ssen (Urk. 43/103 S. 8 und S. 10).</w:t>
      </w:r>
    </w:p>
    <w:p>
      <w:r>
        <w:t>Â Â Â Â Â Â Â Â  Neben der Wortwahl des BeschwerdefÃ¼hrers 2 in Bezug auf seine TÃ¤tigkeit sprechen aber auch weitere UmstÃ¤nden gegen ein UnterordnungsverhÃ¤ltnis zwischen ihm und seiner Ehefrau und fÃ¼r eine wirtschaftliche SelbstÃ¤ndigkeit. So bezeichnete ein frÃ¼herer, nach dem Ãberfall vom 1. November 2002 als TatverdÃ¤chtiger einvernommener Mitarbeiter den BeschwerdefÃ¼hrer 2 als den ehemaligen Chef des Spielsalons (Urk. 9/ZA25; vgl. auch Urk. 9/ZA22), und ein ehemaliger Angestellter im Spielsalon bezeichnete die Ehefrau des BeschwerdefÃ¼hrers 2 zwar als Chefin, von der alles Schriftliche komme (Urk. 9/ZA6), nannte aber den BeschwerdefÃ¼hrer 2 ebenfalls den Chef (Urk. 9/ZA5). Ebenso verwendete ein anderer als Auskunftsperson befragter Mitarbeiter die Bezeichnung Chef fÃ¼r den BeschwerdefÃ¼hrer 2 (Urk. 9/ZA3 und Urk. 9/ZA2). Des Weiteren geht aus dem Bericht der Beschwerdegegnerin Ã¼ber das GesprÃ¤ch mit dem BeschwerdefÃ¼hrer 2 vom 20. August 2003 hervor, dass der BeschwerdefÃ¼hrer 2 und seine Ehefrau ein gemeinsames Bankkonto hatten, welches mit den EinkÃ¼nften aus den Spielsalons gespiesen wurde und von welchem der BeschwerdefÃ¼hrer 2 Geld nach Bedarf bezog (Urk. 9/Z11 S. 2). Unter diesen UmstÃ¤nden ist die Tatsache, dass der Betrieb in der Zeit nach dem Ãberfall redimensioniert und mehrere Spielsalons verkauft wurden (Urk. 9/Z102 S. 3), ein Indiz dafÃ¼r, dass der BeschwerdefÃ¼hrer 2 auch am Unternehmensrisiko beteiligt war. Schliesslich hatte der BeschwerdefÃ¼hrer 2 offenbar schon vor der Zusammenarbeit mit seiner zweiten Ehefrau einen Spielsalon betrieben, wie dem AbklÃ¤rungsbericht der IV-Stelle zu entnehmen ist (Urk. 9/Z102 S. 3; vgl. auch die Aussage eines ehemaligen Sicherheitsangestellten des Spielsalons A.___, wonach er und der BeschwerdefÃ¼hrer 2 geplant hÃ¤tten, gemeinsam einen Spielsalon zu erÃ¶ffnen, und der BeschwerdefÃ¼hrer 2 dort bereits Geld investiert habe, Urk. 9/ZA10).</w:t>
      </w:r>
    </w:p>
    <w:p>
      <w:r>
        <w:t>3.2.3Â Â  Damit Ã¼berwiegen die Kriterien, die den BeschwerdefÃ¼hrer 2 in der Zeit seiner Zusammenarbeit mit seiner spÃ¤teren zweiten Ehefrau weiterhin als selbstÃ¤ndigerwerbend erscheinen lassen und nicht als Arbeitnehmer oder - seit der Heirat im Jahr 2001 (vgl. Urk. 43/103 S. 6) - als lediglich mitarbeitendes Familienmitglied, was ebenfalls ein UnterordnungsverhÃ¤ltnis voraussetzt (vgl. Urteil des EidgenÃ¶ssischen Versicherungsgerichts in Sachen B. vom 21. Mai 2002, U 59/02, Erw. 4b). Daran Ã¤ndert auch nichts, dass die Ehefrau gemÃ¤ss den AuszÃ¼gen aus den individuellen Konti (Urk. 9/Z40 und Urk. 9/Z90) den Hauptanteil des Einkommens aus der GeschÃ¤ftstÃ¤tigkeit (im Bereich zwischen Fr. 100'000.-- bis Fr. 200'000.--) als ihr Einkommen deklarierte, wogegen der BeschwerdefÃ¼hrer 2 selber - wie schon vor dieser Zusammenarbeit - nur EinkÃ¼nfte von hÃ¶chstens Fr. 20'000.-- auswies. Denn zum einen gab der BeschwerdefÃ¼hrer 2, wie vorstehend dargelegt, finanzielle Ãberlegungen fÃ¼r diese Deklarationsweise an, und zum andern hat die AHV-Ausgleichskasse dort, wo Eheleute beide eine selbstÃ¤ndige ErwerbstÃ¤tigkeit ausÃ¼ben und die SteuerbehÃ¶rde keine getrennte Meldung der EinkÃ¼nfte macht, die Aufteilung des gesamthaft gemeldeten reinen Einkommens grundsÃ¤tzlich nach den Angaben der Versicherten vorzunehmen (Wegleitung des Bundesamtes fÃ¼r Sozialversicherung Ã¼ber die BeitrÃ¤ge der SelbstÃ¤ndigerwerbenden und NichterwerbstÃ¤tigen [WSN] in der AHV, IV und EO, Rz 1262). Eine grundsÃ¤tzliche Koordinationspflicht hinsichtlich der Arbeitnehmereigenschaft in der Unfallversicherung und in der Bundesgesetzgebung Ã¼ber die Alters- und Hinterlassenenversicherung sieht denn auch der seit 1. Januar 1998 in Kraft stehende Art. 1 UVV vor (vgl. RKUV 1998 S. 87). In Ãbereinstimmung mit der vorliegenden Beurteilung hat das Sozialversicherungsgericht bereits im Urteil vom 28. Dezember 2007 betreffend die invalidenversicherungsrechtlichen AnsprÃ¼che festgehalten, die InvaliditÃ¤tsbemessung habe nach der auf SelbstÃ¤ndigerwerbende zugeschnittenen ausserordentlichen Methode zu erfolgen (Urk. 43/71 S. 10).</w:t>
      </w:r>
    </w:p>
    <w:p>
      <w:r>
        <w:t>3.3Â Â Â Â  War der BeschwerdefÃ¼hrer 2 somit im Zeitpunkt des Ereignisses vom 1. November 2002 nach wie vor selbstÃ¤ndigerwerbend, so kann die Beschwerdegegnerin ihre Leistungspflicht fÃ¼r die Folgen dieses Ereignisses nicht mit dem Wegfall dieser Eigenschaft verneinen.</w:t>
      </w:r>
    </w:p>
    <w:p>
      <w:r>
        <w:t>Â Â Â Â Â Â Â Â  Es erscheint sodann auch nicht als gesetzlich zwingend, dass der BeschwerdefÃ¼hrer 2 als Mit-Arbeitgeber beim gleichen Versicherer freiwillig versichert ist wie seine Ehefrau und die Angestellten der Spielsalons. Der Wortlaut von Art. 135 Abs. 1 UVV kÃ¶nnte zwar in die gegenteilige Richtung weisen. Die GesetzmÃ¤ssigkeit dieser Bestimmung wird in der Lehre jedoch angezweifelt (Maurer, Schweizerisches Unfallversicherungsrecht, 2. Auflage, Bern 1989, S. 60), und die Rechtsprechung teilt diese Zweifel und hat es als rechtlich zulÃ¤ssig beurteilt, dass ein selbstÃ¤ndiger Unternehmer, dessen Betrieb an sich in den ZustÃ¤ndigkeitsbereich der SUVA fÃ¤llt (Art. 66 Abs. 1 UVG), in Abweichung vom Wortlaut von Art. 135 Abs. 2 UVV die freiwillige Versicherung bei einem anderen Unfallversicherer abschliesst (Urteil des EidgenÃ¶ssischen Versicherungsgerichts in Sachen O. vom 18. Oktober 2000, U 416/99, Erw. 5). Damit erÃ¼brigt sich die beantragte Beiladung der Z.___ (vgl. Urk. 23 S. 1 f.).</w:t>
      </w:r>
    </w:p>
    <w:p>
      <w:r>
        <w:t>Â Â Â Â Â Â Â Â  Die Beschwerdegegnerin kÃ¶nnte ihre Leistungspflicht schliesslich auch nicht mit der BegrÃ¼ndung verneinen, die selbstÃ¤ndige TÃ¤tigkeit in der Art, wie der BeschwerdefÃ¼hrer 2 sie zur Zeit des Ãberfalls zusammen mit seiner Ehefrau ausgeÃ¼bt hat, sei nicht vom - an sich bestehenden - Versicherungsvertrag umfasst. Denn die Umschreibung "Elektrische/Elektronische GerÃ¤te, Garantie/Service und Handel" traf im Jahr 2002 nach wie vor auf den Aufgabenbereich des BeschwerdefÃ¼hrers 2 zu, zumal dieser im Rahmen seiner selbstÃ¤ndigen TÃ¤tigkeit schon frÃ¼her in Spielsalons tÃ¤tig gewesen war (Urk. 36/ZM7, Urk. 36/ZM10 S. 4) oder solche selber betrieben hatte.</w:t>
      </w:r>
    </w:p>
    <w:p>
      <w:r>
        <w:rPr>
          <w:b/>
        </w:rPr>
        <w:t>E. 3.4</w:t>
      </w:r>
    </w:p>
    <w:p>
      <w:r>
        <w:t>3.4.1Â Â  Steht damit die Versicherteneigenschaft des BeschwerdefÃ¼hrers 2 im Zeitpunkt des Ereignisses vom 1. November 2002 fest, so stellt sich als NÃ¤chstes die Frage, welche Folgen dieses Ereignis hatte und ob die Beschwerdegegnerin dafÃ¼r leistungspflichtig ist.</w:t>
      </w:r>
    </w:p>
    <w:p>
      <w:r>
        <w:t>3.4.2Â Â  Nach seiner Sachverhaltsdarstellung anlÃ¤sslich der polizeilichen Befragung vom 1. November 2002 hatte der BeschwerdefÃ¼hrer 2 in der Nacht vom 31. Oktober auf den 1. November 2002 im Spielsalon A.___ Reparaturen an den SpielgerÃ¤ten ausgefÃ¼hrt und war daran, den Salon zu verlassen, als ihm zwei MÃ¤nner entgegentraten, ihm eine Pistole vor das Gesicht hielten und ihn in den Salon zurÃ¼ckdrÃ¤ngten. Der BeschwerdefÃ¼hrer 2 schilderte weiter, die MÃ¤nner hÃ¤tten ihn mit Fusstritten traktiert und ihm befohlen, in den Tresorraum zu gehen. Auf dem Weg dorthin hÃ¤tten sie ihm die HÃ¤nde zusammengebunden und anschliessend hÃ¤tten sie ihn gezwungen, den Tresor aufzuschliessen. Weil er nur in der Lage gewesen sei, eine einzige der Tresorschubladen zu Ã¶ffnen, hÃ¤tten sie gedroht, ihn zu erschiessen, und hÃ¤tten ihm mit der Waffe auf den Kopf geschlagen. Erst nach mindestens einer Stunde hÃ¤tten sie von ihm abgelassen und den Salon verlassen, worauf er seine Frau kontaktiert habe. Sein Schwiegervater habe ihn dann von der Fesselung befreit, spÃ¤ter sei seine Frau ebenfalls eingetroffen und schliesslich auch die alarmierte Polizei (Urk. 9/ZA36-38). Die spÃ¤teren Sachverhaltsdarstellungen des BeschwerdefÃ¼hrers 2, namentlich diejenige gegenÃ¼ber den Ãrzten der Neurologischen Klinik des Spitals B.___bei der Erstuntersuchung vom 4. November 2002 (Urk. 9/ZM1), diejenige im Arztzeugnis UVG der Psychiatrischen Poliklinik des Spitals B.___ vom 17. Juni 2003 (Urk. 9/ZM3) und auch diejenige gegenÃ¼ber den Gutachtern des G.___ (Urk. 43/103 S. 7 f.), stimmen im Wesentlichen mit seiner ersten Darstellung Ã¼berein, sodass keine grundsÃ¤tzlichen Zweifel daran bestehen.</w:t>
      </w:r>
    </w:p>
    <w:p>
      <w:r>
        <w:t>Â Â Â Â Â Â Â Â  Das Geschehnis in der dargestellten Art ist sodann fraglos als Unfall im Rechtssinn zu qualifizieren; insbesondere sind die Merkmale der UngewÃ¶hnlichkeit, der PlÃ¶tzlichkeit und der fehlenden Absicht ohne weiteres erfÃ¼llt.</w:t>
      </w:r>
    </w:p>
    <w:p>
      <w:r>
        <w:t>3.4.3Â Â  In kÃ¶rperlicher Hinsicht zeigten sich bei der Erstuntersuchung vom 4. November 2002 EinschnÃ¼rungen an den beiden Handgelenken, eine RÃ¶tung hinter dem linken Ohr, eine kleine Kruste an der linken Ohrmuschel sowie RÃ¶tungen an der Nase und an der Kinnunterseite (Urk. 9/ZM1 S. 2). Hingegen wurde der Neurostatus als normal bezeichnet, und Hinweise auf Frakturen und auf eine intrakranielle oder eine spinale zervikale strukturelle LÃ¤sion konnten nicht festgestellt werden. GemÃ¤ss den Erstuntersuchern stand dementsprechend nicht eine kÃ¶rperliche Verletzung, sondern eine posttraumatische Stressreaktion im Vordergrund (Urk. 9/ZM1 S. 2 f.).</w:t>
      </w:r>
    </w:p>
    <w:p>
      <w:r>
        <w:t>Â Â Â Â Â Â Â Â  In der Folge diagnostizierten die behandelnden Ãrzte der Psychiatrie Ã¼bereinstimmend eine posttraumatische BelastungsstÃ¶rung (Code F43.1 der Internationalen Klassifikation psychischer StÃ¶rungen der Weltgesundheitsorganisation, ICD-10); diese Diagnose findet sich sowohl in den Berichten der Psychiatrischen Poliklinik des Spitals B.___(Urk. 9/ZM3-6) als auch in denjenigen von Dr. C.___ (Urk. 43/80) und in einem Bericht des Psychiatrie-Zentrums K.___ vom 24. Mai 2007 (Urk. 24/2). Der psychiatrische Teilgutachter des G.___ stellte die Diagnose einer posttraumatischen BelastungsstÃ¶rung - nebst derjenigen einer rezidivierenden depressiven StÃ¶rung - ebenfalls (Urk. 43/103 S. 9 und S. 13), und da alle diese Ãrzte Kenntnis vom Unfallhergang hatten und sowohl darauf als auch auf die geklagte Symptomatik Bezug nahmen, ist sie nicht anzuzweifeln. Dies gilt ungeachtet dessen, dass der Ãberfall vom 1. November 2002 das Definitionsmerkmal einer Situation aussergewÃ¶hnlicher Bedrohung oder katastrophalen Ausmasses, die bei fast jeder Person eine tiefe VerstÃ¶rung hervorrufen wÃ¼rde (ICD-10 Code F43.1; MÃ¶ller/Laux/Deister, Psychiatrie, Stuttgart 1996, S. 210 f.), nur knapp erfÃ¼llen dÃ¼rfte. Im Ãbrigen anerkannte auch Dr. E.___, dessen Gutachten im Urteil vom 28. Dezember 2007 indessen als zu wenig beweiskrÃ¤ftig befunden wurde (vgl. Urk. 43/71 S. 9), zumindest fÃ¼r die erste Zeit nach dem Geschehnis vom 1. November 2002 eine darauf zurÃ¼ckzufÃ¼hrende StÃ¶rung (vgl. Urk. 9/ZM10 S. 20).</w:t>
      </w:r>
    </w:p>
    <w:p>
      <w:r>
        <w:t>Â Â Â Â Â Â Â Â  Damit ist erstellt, dass der BeschwerdefÃ¼hrer 2 beim Ereignis vom 1. November 2002 eine krankheitswertige psychische BeeintrÃ¤chtigung erlitten hat.</w:t>
      </w:r>
    </w:p>
    <w:p>
      <w:r>
        <w:t>3.4.4Â Â Â Â Â Â Â Â  Entgegen der Ansicht der Beschwerdegegnerin (vgl. Urk. 2 S. 7 f., Urk. 8 S. 6 ff., Urk. 29 S. 6 ff., Urk. 54 S. 3 f.) kann sodann nicht ohne Weiteres gesagt werden, das Ereignis habe spÃ¤testens nach einigen Monaten seine natÃ¼rlich-kausale Bedeutung fÃ¼r die persistierenden psychischen EinschrÃ¤nkungen gÃ¤nzlich verloren. Denn Dr. C.___, der den BeschwerdefÃ¼hrers 2 von September 2005 bis Januar 2007 behandelte, hielt die Diagnose einer posttraumatischen BelastungsstÃ¶rung fÃ¼r diesen gesamten Zeitraum aufrecht (Urk. 43/80), und auch der psychiatrische Teilgutachter des G.___ vermerkte zwar Schwierigkeiten in der Beurteilung aufgrund von widersprÃ¼chlichen Angaben des BeschwerdefÃ¼hrers 2 (Urk. 43/103 S. 11 und S. 15), hielt aber gewisse EinschrÃ¤nkungen aufgrund der posttraumatischen BelastungsstÃ¶rung dennoch nach wie vor fÃ¼r gegeben (Urk. 43/103 S. 10 und S. 14). Und die Psychiatrische Poliklinik des Spitals B.___ hielt zwar in den Berichten vom Juni und vom Dezember 2005 (Urk. 9/ZM12 und Urk. 9/ZM8) das Vorliegen einer krankheitswertigen posttraumatischen BelastungsstÃ¶rung nicht mehr fÃ¼r gesichert, hatte jedoch diese Diagnose fÃ¼r die Zeit davor mehrmals bestÃ¤tigt (Urk. 9/ZM3-6).</w:t>
      </w:r>
    </w:p>
    <w:p>
      <w:r>
        <w:t>3.4.5Â Â  Zu beurteilen bleibt die AdÃ¤quanz des gegebenen natÃ¼rlichen Kausalzusammenhangs zwischen dem Ereignis vom 1. November 2002 und mindestens einem Teil der fortbestehenden psychischen Beschwerden.</w:t>
      </w:r>
    </w:p>
    <w:p>
      <w:r>
        <w:t>Â Â Â Â Â Â Â Â  GemÃ¤ss den vorstehenden AusfÃ¼hrungen zog das betreffende Ereignis nur sehr untergeordnete, vorÃ¼bergehende kÃ¶rperliche Verletzungen nach sich. Die AdÃ¤quanzbeurteilung hat daher nach der allgemeinen Formel des gewÃ¶hnlichen Laufs der Dinge und der allgemeinen Lebenserfahrung zu erfolgen. Damit hÃ¤ngt die ZulÃ¤ssigkeit der AdÃ¤quanzprÃ¼fung entgegen der Auffassung des BeschwerdefÃ¼hrers 2 (Urk. 4/1 S. 10 f.) nicht davon ab, dass von der Heilbehandlung keine weiteren Fortschritte mehr zu erwarten sind (vgl. Art. 19 Abs. 1 UVG).</w:t>
      </w:r>
    </w:p>
    <w:p>
      <w:r>
        <w:t>Â Â Â Â Â Â Â Â  Die hÃ¶chstrichterliche Rechtsprechung geht bei ÃberfÃ¤llen, die keine wesentlichen kÃ¶rperlichen BeeintrÃ¤chtigungen zur Folge haben, konstant davon aus, dass zwar eine Traumatisierung stattfinden kÃ¶nne, dass sie aber vom Opfer in aller Regel innert einiger Wochen oder Monate Ã¼berwunden werde (Urteil des EidgenÃ¶ssischen Versicherungsgerichts in Sachen B. vom 14. April 2005, U 390/04, Erw. 2.1). Das Gericht hat im gerade zitierten Urteil (Erw. 2.1) beispielhaft den Fall einer Versicherten aufgefÃ¼hrt, die auf offener Strasse von einem Unbekannten angegriffen, zu Boden gedrÃ¼ckt und in TÃ¶tungsabsicht gewÃ¼rgt worden war, und auch den Fall eines Mannes erwÃ¤hnt, der von einem unbekannten Begleiter eines GeschÃ¤ftskunden mit dem Messer bedroht und erpresst worden war. Ferner hat das EidgenÃ¶ssische Versicherungsgericht neben dem vom BeschwerdefÃ¼hrer 2 diskutierten publizierten Urteil (BGE 129 V 177; Urk. 4/1 S. 12, Urk. 23 S. 8 f.), mit dem es die UnfalladÃ¤quanz von lÃ¤nger persistierenden psychischen Beschwerden nach einem Raub mit Waffenbedrohung ohne KÃ¶rperschÃ¤digung verneint hat, mehrmals Urteile gefÃ¤llt, mit denen es auch bei ÃberfÃ¤llen mit Einwirkungen auf den KÃ¶rper die UnfalladÃ¤quanz dauerhafter psychischer StÃ¶rungen als nicht gegeben erachtet hat, so in einem Fall, wo eine weibliche Spielsalonaufsicht von drei maskierten MÃ¤nnern Ã¼berfallen, mit der Pistole bedroht und mit den FÃ¤usten geschlagen worden war (Urteil in Sachen R. vom 4. August 2005, U 2/05), und in einem Fall, wo ein Kellner und Barkeeper nach Betriebsschluss von maskierten MÃ¤nnern mit Schusswaffen bedroht und mit FaustschlÃ¤gen ins Gesicht und Fusstritten in den Bauch traktiert worden war (Urteil in Sachen S. vom 14. April 2008, U 593/06). Es mag entsprechend den Vorbringen des BeschwerdefÃ¼hrers 2 (Urk. 4/1 S. 12) zutreffen, dass die Bedrohungssituation in seinem Fall lÃ¤nger andauerte als in den zitierten FÃ¤llen der hÃ¶chstrichterlichen Kasuistik. In ihrem Ausmass reiht sich jedoch die vorliegend ausgeÃ¼bte Bedrohung und Gewaltanwendung in diese FÃ¤lle ein.</w:t>
      </w:r>
    </w:p>
    <w:p>
      <w:r>
        <w:t>3.4.6Â Â  Damit ist die Beschwerdegegnerin nur in der ersten Zeit nach dem Ãberfall fÃ¼r die erlittene psychische BeeintrÃ¤chtigung leistungspflichtig, denn hier ist nach der dargelegten Rechtsprechung der adÃ¤quate mit dem natÃ¼rlichen Kausalzusammenhang gleichzusetzen. Diese erste Zeit ist angesichts der Rechtsprechung ermessensweise (und in Ãbereinstimmung mit der Auffassung der Beschwerdegegnerin, Urk. 9/Z108 S. 18, Urk. 2 S. 8, Urk. 8 S. 8, Urk. 29 S. 8) auf sechs Monate festzulegen. Dass der Unfallversicherer im Sachverhalt des BGE 129 V 177 seine Leistungen erst nach sechs Jahren eingestellt hatte, wie der BeschwerdefÃ¼hrer 2 vorbringen lÃ¤sst (Urk. 23 S. 9), spricht nicht fÃ¼r eine lÃ¤ngerdauernde Leistungspflicht im vorliegenden Fall. Denn Gegenstand jenes Urteils war einzig die Leistungseinstellung nach den besagten sechs Jahren; die Leistungspflicht wÃ¤hrend des vorangegangenen Zeitraums war nicht strittig und wurde somit nicht gerichtlich beurteilt. Entgegen dem Vorbringen des BeschwerdefÃ¼hrers 2 (Urk. 23 S. 9) lÃ¤sst sich fÃ¼r die vorliegende AdÃ¤quanzbeurteilung auch nichts aus dem Urteil des EidgenÃ¶ssischen Versicherungsgerichts vom 20. September 2007 in Sachen S. (U 548/06) ableiten, da das dortige Ereignis (Tsunami) nicht mit dem hier zur Diskussion stehenden verglichen werden kann.</w:t>
      </w:r>
    </w:p>
    <w:p>
      <w:r>
        <w:t>3.4.7Â Â  Soweit der BeschwerdefÃ¼hrer 2 anbringen lÃ¤sst, er leide neben der psychischen StÃ¶rung an kÃ¶rperlichen Beschwerden, die von frÃ¼heren UnfÃ¤llen herrÃ¼hrten (Urk. 4/1 S. 9), so kann darauf nicht eingegangen werden, da Gegenstand des angefochtenen Einspracheentscheids nur die Folgen des Ereignisses vom 1. November 2002 sind. Ebenso wenig sind an dieser Stelle bereits die einzelnen Leistungen festzulegen, denn diese sind im angefochtenen Einspracheentscheid noch nicht konkretisiert worden. Dies gilt insbesondere auch fÃ¼r die HÃ¶he des versicherten Verdienstes. Die Beschwerdegegnerin hat sich zu dieser Frage im angefochtenen Einspracheentscheid zwar geÃ¤ussert, hat sie aber ausdrÃ¼cklich offen gelassen (Urk. 2 S. 9). Unter diesen UmstÃ¤nden ist auch auf die weiteren, erst im vorliegenden Verfahren gemachten Ãberlegungen hierzu (Urk. 8 S. 9, Urk. 29 S. 9 f.) an dieser Stelle nicht einzugehen.</w:t>
      </w:r>
    </w:p>
    <w:p>
      <w:r>
        <w:t>3.5Â Â Â Â  Damit ist der angefochtene Einspracheentscheid in teilweiser Gutheissung der Beschwerden dahingehend zu Ã¤ndern, dass die Beschwerdegegnerin fÃ¼r die ersten sechs Monate ab dem 1. November 2002 die Leistungen nach UVG zu erbringen hat, und die Sache ist zur Festlegung dieser Leistungen (soweit dies nicht bereits geschehen ist; vgl. Urk. 4/1 S. 3) an die Beschwerdegegnerin zurÃ¼ckzuweisen. Im Ãbrigen sind die Beschwerden abzuweisen, soweit darauf einzutreten ist.</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ist dem teilweise obsiegenden BeschwerdefÃ¼hrer 2 eine reduzierte ProzessentschÃ¤digung zuzusprechen, die ermessensweise auf Fr. 2'500.-- (inklusive Barauslagen und Mehrwertsteuer) festzusetzen ist.</w:t>
      </w:r>
    </w:p>
    <w:p>
      <w:r>
        <w:t>Das Gericht erkennt:</w:t>
      </w:r>
    </w:p>
    <w:p>
      <w:r>
        <w:t>1.Â Â Â Â Â Â Â Â  In teilweiser Gutheissung der Beschwerden wird der angefochtene Einspracheentscheid vom 10. Dezember 2007 dahingehend geÃ¤ndert, dass die Beschwerdegegnerin fÃ¼r die ersten sechs Monate ab dem 1. November 2002 die Leistungen nach UVG zu erbringen hat, und die Sache wird zur Festlegung dieser Leistungen an die Beschwerdegegnerin zurÃ¼ckgewiesen. Im Ãbrigen werden die Beschwerden abgewiesen, soweit darauf einzutreten ist.</w:t>
      </w:r>
    </w:p>
    <w:p>
      <w:r>
        <w:t>2.Â Â Â Â Â Â Â Â  Das Verfahren ist kostenlos.</w:t>
      </w:r>
    </w:p>
    <w:p>
      <w:r>
        <w:t>3.Â Â Â Â Â Â Â Â  Die Beschwerdegegnerin wird verpflichtet, dem BeschwerdefÃ¼hrer 2 eine ProzessentschÃ¤digung von Fr. 2'500.-- (inklusive Barauslagen und Mehrwertsteuer) zu bezahlen.</w:t>
      </w:r>
    </w:p>
    <w:p>
      <w:r>
        <w:t>4.Â Â Â Â Â Â Â Â Â Â  Zustellung gegen Empfangsschein an:</w:t>
      </w:r>
    </w:p>
    <w:p>
      <w:r>
        <w:t>- Krankenkasse Y.___</w:t>
      </w:r>
    </w:p>
    <w:p>
      <w:r>
        <w:t>- Rechtsanwalt Thomas Laube</w:t>
      </w:r>
    </w:p>
    <w:p>
      <w:r>
        <w:t>- ''ZÃ¼rich''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