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UV.2007.00513 vom 10. August 2009</w:t>
      </w:r>
    </w:p>
    <w:p>
      <w:r>
        <w:t>ZH Sozialversicherungsgericht, 2009-08-10, DE</w:t>
      </w:r>
    </w:p>
    <w:p>
      <w:r>
        <w:rPr>
          <w:b/>
        </w:rPr>
        <w:t xml:space="preserve">Quelle: </w:t>
      </w:r>
      <w:r>
        <w:t>https://mcp.opencaselaw.ch/entscheid/zh_sozialversicherungsgericht_UV.2007.00513</w:t>
      </w:r>
    </w:p>
    <w:p>
      <w:r>
        <w:t>FR: ZH_SOZIALVERSICHERUNGSGERICHT UV.2007.00513 du 10 août 2009</w:t>
      </w:r>
    </w:p>
    <w:p>
      <w:r>
        <w:t>IT: ZH_SOZIALVERSICHERUNGSGERICHT UV.2007.00513 del 10 agosto 2009</w:t>
      </w:r>
    </w:p>
    <w:p>
      <w:pPr>
        <w:pStyle w:val="Heading2"/>
      </w:pPr>
      <w:r>
        <w:t>Erwägungen</w:t>
      </w:r>
    </w:p>
    <w:p>
      <w:r>
        <w:rPr>
          <w:b/>
        </w:rPr>
        <w:t>E. 2</w:t>
      </w:r>
    </w:p>
    <w:p>
      <w:r>
        <w:t>2.Â Â Â Â Â Â  GemÃ¤ss Art. 15 UVG werden die Renten nach dem versicherten Verdienst bemessen (Absatz 1). Als versicherter Verdienst gilt fÃ¼r die Bemessung der Renten der innerhalb eines Jahres vor dem Unfall bezogene Lohn (Absatz 2). GestÃ¼tzt auf die in Art. 15 Abs. 3 UVG eingerÃ¤umte Delegationskompetenz hat der Bundesrat unter dem Titel "versicherter Verdienst" die Art. 22-24 der Verordnung Ã¼ber die Unfallversicherung (UVV) erlassen. Nach der Bestimmung von Art. 22 UVV, welche den versicherten Verdienst im Allgemeinen regelt, gilt als solcher der nach der Bundesgesetzgebung Ã¼ber die AHV massgebende Lohn mit unter anderem der Abweichung, dass Kinderzulagen ebenfalls als versicherter Verdienst gelten (Abs. 2 lit. b). Absatz 4 von Art. 22 UVV legt sodann Folgendes fest: Als Grundlage fÃ¼r die Bemessung der Renten gilt der innerhalb eines Jahres vor dem Unfall bei einem oder mehreren Arbeitgebern bezogene Lohn, einschliesslich noch nicht ausbezahlter Lohnbestandteile, auf die ein Rechtsanspruch besteht (Satz 1). Dauerte das ArbeitsverhÃ¤ltnis nicht das ganze Jahr, so wird der in dieser Zeit bezogene Lohn auf ein volles Jahr umgerechnet (Satz 2). Bei einer zum Voraus befristeten BeschÃ¤ftigung bleibt die Umrechnung auf die vorgesehene Dauer beschrÃ¤nkt (Satz 3).</w:t>
      </w:r>
    </w:p>
    <w:p>
      <w:r>
        <w:t>Â Â Â Â Â Â Â Â  Die geschilderte gesetzliche Ordnung knÃ¼pft damit beim angestammten ArbeitsverhÃ¤ltnis an und stellt auf die LohnverhÃ¤ltnisse ab, wie sie vor dem Unfall bestanden haben. Dieser Grundsatz hÃ¤ngt eng mit dem Ãquivalenzprinzip zwischen versichertem Verdienst und PrÃ¤mienordnung zusammen. Es soll damit sichergestellt werden, dass bei den finanziell wichtigsten Versicherungsleistungen, wie bei den Renten, von den gleichen Faktoren ausgegangen wird, die auch Basis fÃ¼r die PrÃ¤mienberechnung bilden. Dem entspricht, dass VerÃ¤nderungen des von versicherten Personen ohne den Versicherungsfall mutmasslich erzielbaren Verdienstes keinen Einfluss auf die Rente der Unfallversicherung haben sollen (vgl. BGE 127 V 172 Erw. 3b mit Hinweisen, Urteile des EidgenÃ¶ssischen Versicherungsgerichts in Sachen D. vom 2. Februar 2006, U 469/05, Erw. 4.1, und in Sachen G. vom 1. April 2003, U 292/01, Erw. 3.2).</w:t>
      </w:r>
    </w:p>
    <w:p>
      <w:r>
        <w:t>3.Â Â Â Â Â Â  Strittig ist die Berechnung des versicherten Verdienstes. Die SUVA ging vom Arbeitsbeginn per 10. April 2006 und einer wahrscheinlichen Anstellungsdauer bis 31. Oktober 2006 aus. In Anwendung von Art. 22 Abs. 4 Satz 3 UVV rechnete sie den bis zum Unfalltag erzielten Lohn auf diese Dauer um (Urk. 9/40, Urk. 9/41). Die BeschwerdefÃ¼hrenden machen geltend, das ArbeitsverhÃ¤ltnis sei unbefristet gewesen. Demzufolge sei der Lohn auf ein volles Jahr umzurechnen. Eventualiter sei von einer Anstellung bis Ende Dezember statt lediglich bis Ende Oktober 2006 auszugehen. In diesem Fall sei der volle schweizerische Kinderzulagenzusatz beim versicherten Verdienst zu berÃ¼cksichtigen, da ein Abzug der in Portugal bezogenen Kinderzulagen unzulÃ¤ssig sei. Ebenfalls seien allfÃ¤llige auslÃ¤ndische EinkÃ¼nfte sowie die vom Verstorbenen in Portugal bezogenen Arbeitslosengelder einzuberechnen. In Bezug auf Art. 22 Abs. 4 Satz 3 UVV beanstanden sie, diese Bestimmung diskriminiere auslÃ¤ndische Arbeitnehmer, weil diese hÃ¤ufiger in befristeten und unterjÃ¤hrigen ArbeitsverhÃ¤ltnissen angestellt seien, und verstosse somit gegen das im FreizÃ¼gigkeitsabkommen (FZA) statuierte Gleichbehandlungsgebot (Urk. 1, Urk. 16).</w:t>
      </w:r>
    </w:p>
    <w:p>
      <w:r>
        <w:rPr>
          <w:b/>
        </w:rPr>
        <w:t>E. 4</w:t>
      </w:r>
    </w:p>
    <w:p>
      <w:r>
        <w:t>4.1Â Â Â Â Â Â Â Â  ZunÃ¤chst ist zu prÃ¼fen, ob die Anwendung von Art. 22 Abs. 4 Satz 3 UVV zu Recht und in korrekter Weise erfolgte. Bejahendenfalls stellt sich die Frage nach der Vereinbarkeit dieser Bestimmung mit dem im FZA statuierten Diskriminierungsverbot.</w:t>
      </w:r>
    </w:p>
    <w:p>
      <w:r>
        <w:t>4.2Â Â Â Â  Der Arbeitsvertrag zwischen dem Versicherten und der B.___ vom 20. MÃ¤rz 2006 war befristet fÃ¼r die Dauer vom 10. April bis 30. September 2006 (Urk. 9/25.7). Laut Angaben der Arbeitgeberin gegenÃ¼ber der SUVA wÃ¤re die Anstellung jedoch sicher bis 31. Oktober 2006 verlÃ¤ngert worden. Dies sei seit TÃ¤tigwerden des Verstorbenen fÃ¼r die B.___ im Jahr 2001 immer der Fall gewesen (Urk. 9/25.1). Vor diesem Hintergrund ist der SUVA beizupflichten, dass von einem von vornherein vom 10. April bis 31. Oktober 2006 befristeten ArbeitsverhÃ¤ltnis auszugehen ist. Der Verstorbene war seit 1996 in der Schweiz und seit 2001 bei der B.___ erwerbstÃ¤tig gewesen (Urk. 3/3, Urk. 3/4, Urk. 9/26.1). Dabei handelte es sich indessen stets um befristete, saisonale BeschÃ¤ftigungen (vgl. Urk. 9/26.1). Ein unbefristetes ArbeitsverhÃ¤ltnis kann daraus nicht abgeleitet werden. Der Arbeitsvertrag vom 20. MÃ¤rz 2006 enthÃ¤lt den Vermerk, eventuell werde das ArbeitsverhÃ¤ltnis bis 23. Dezember 2006 verlÃ¤ngert (Urk. 9/25.7). Da eine VerlÃ¤ngerung lediglich als mÃ¶gliche Option erwÃ¤hnt wurde, fehlt es fÃ¼r deren Annahme an dem im Sozialversicherungsrecht erforderlichen Grad der Ã¼berwiegenden Wahrscheinlichkeit (vgl. BGE 126 V 360 Erw. 5b mit Hinweisen) und rechtfertigt sich umso weniger, als in den vergangenen Jahren das ArbeitsverhÃ¤ltnis nie lÃ¤nger als sechs Monate gedauert hatte (Urk. 9/26.1). Daran Ã¤ndert auch nichts, dass der Arbeitgeber bereits vorsorglich eine VerlÃ¤ngerung der Aufenthaltsbewilligung beantragt und erhalten hatte. Denn dies geschah aus administrativen GrÃ¼nden und galt fÃ¼r eine Vielzahl von Mitarbeitern (Urk. 3/6, Urk. 3/7). Ist demzufolge von einem befristeten unterjÃ¤hrigen ArbeitsverhÃ¤ltnis auszugehen, gelangt Art. 22 Abs. 4 Satz 3 zur Anwendung.</w:t>
      </w:r>
    </w:p>
    <w:p>
      <w:r>
        <w:t>4.3Â Â Â Â  Nebst dem Lohn wurden dem Verstorbenen von der B.___ Kinderzulagen von monatlich Fr. 289.70 ausbezahlt. Laut Angaben der Arbeitgeberin entspricht dies der Differenz zwischen den Schweizer Kinderzulagen und denjenigen, welche in Portugal an die MÃ¼tter der beiden Kinder ausbezahlt wurden (Urk. 9/40). Ob diese Differenzberechnung korrekt ist, lÃ¤sst sich anhand der Akten nicht beurteilen. Dies ist jedoch im Zusammenhang mit der Berechnung des versicherten Verdienstes nicht weiter von Belang. Auszugehen ist von den tatsÃ¤chlichen, erwerblichen VerhÃ¤ltnissen, die vor dem Unfall effektiv bestanden. Massgebend sind die tatsÃ¤chlichen BezÃ¼ge (BGE 131 V 450 Erw. 3.2.1; Urteil des Bundesgerichts in Sachen B. vom 28. Dezember 2007, 8C_151/2007, Erw. 5.1, Urteil des EidgenÃ¶ssischen Versicherungsgerichts in Sachen G. vom 1. April 2003, U 292/01, Erw. 5.1). Deren HÃ¶he war wÃ¤hrend der Dauer des ArbeitsverhÃ¤ltnisses, soweit ersichtlich, denn auch unbestritten (Urk. 9/25.2-25.6). Soweit der Lohn fÃ¼r geleistete Arbeit und die bereits angefallenen Kinderzulagen im Zeitpunkt des Unfalls noch nicht ausbezahlt worden waren, bestand darauf ein Rechtsanspruch. Nach Art. 22 Abs. 4 Satz 1 sind noch nicht ausbezahlte Lohnbestandteile bei der Bemessung des versicherten Verdienstes zu berÃ¼cksichtigen, was die SUVA auch tat (vgl. Urk. 9/41). Diese Bestimmung bietet jedoch entgegen der Ansicht der BeschwerdefÃ¼hrenden nicht Grundlage zur ÃberprÃ¼fung, ob das Vorgehen der Arbeitgeberin korrekt war.</w:t>
      </w:r>
    </w:p>
    <w:p>
      <w:r>
        <w:t>Â Â Â Â Â Â Â Â  Soweit die BeschwerdefÃ¼hrenden bei der Bemessung des versicherten Verdienstes allfÃ¤llige auslÃ¤ndische EinkÃ¼nfte des Verstorbenen sowie die von ihm vom 7. November 2005 bis 17. April 2006 in Portugal bezogenen Arbeitslosengelder gestÃ¼tzt auf Art. 24 Abs. 1 UVV berÃ¼cksichtigt haben wollen (Urk. 1 S. 6, Urk. 16 S. 3), sind sie darauf hinzuweisen, dass fÃ¼r befristet unterjÃ¤hrig angestellte Arbeitnehmer die Regel von Art. 22 Abs. 4 Satz 3 UVV zur Anwendung kommt (Rumo-Jungo, Rechtsprechung des Bundesgerichts zum Sozialversicherungsrecht, Bundesgesetz Ã¼ber die Unfallversicherung, S. 111; vgl. auch BGE 118 V 303 Erw. 3b). Dementsprechend erweist sich das Vorgehen der SUVA als korrekt, welche einzig den bei der B.___ erzielten Lohn berÃ¼cksichtigte und diesen zur Bemessung des versicherten Verdienstes auf die mutmassliche Dauer des ArbeitsverhÃ¤ltnisses vom 10. April bis 31. Oktober 2006 umrechnete.</w:t>
      </w:r>
    </w:p>
    <w:p>
      <w:r>
        <w:rPr>
          <w:b/>
        </w:rPr>
        <w:t>E. 4.4</w:t>
      </w:r>
    </w:p>
    <w:p>
      <w:r>
        <w:t>4.4.1Â Â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SelbstÃ¤ndige sowie deren FamilienangehÃ¶rige, die innerhalb der Gemeinschaft zu- und abwandern (nachfolgend: Verordnung Nr. 1408/71), und die Verordnung (EWG) Nr. 574/72 des Rates vom 21. MÃ¤rz 1972 Ã¼ber die DurchfÃ¼hrung der Verordnung (EWG) Nr. 1408/71 Ã¼ber die Anwendung der Systeme der sozialen Sicherheit auf Arbeitnehmer und SelbstÃ¤ndige sowie deren FamilienangehÃ¶rige, die innerhalb der Gemeinschaft zu- und abwandern, oder gleichwertige Vorschriften an.</w:t>
      </w:r>
    </w:p>
    <w:p>
      <w:r>
        <w:t>4.4.2Â Â  In zeitlicher Hinsicht sind das FZA und die Verordnung Nr. 1408/71 anwendbar; denn die VerwaltungsverfÃ¼gungen vom 22. Mai 2007 beziehen sich auf den Anspruch auf eine Halbwaisenrente ab 1. Juni 2006, mithin auf einen Zeitraum nach In-Kraft-Treten des Abkommens (vgl. Art. 94 Abs. 1 und Art. 95 Abs. 1 der Verordnung Nr. 1408/71; BGE 132 V 48 Erw. 3.2.1). Dasselbe gilt in persÃ¶nlicher Hinsicht. Der Verstorbene besass die StaatsangehÃ¶rigkeit eines Staates, der Partei des FZA ist, und war als Arbeitnehmer dem portugiesischen wie auch dem schweizerischen System der sozialen Sicherheit angeschlossen (vgl. Art. 2 Abs. 1 und Art. 1 lit. a VO Nr. 1408/71). Auch materiellrechtlich fallen die im Streit liegenden Halbwaisenrenten in den ZustÃ¤ndigkeitsbereich der Koordinierungsverordnungen. Die Renten der Unfallversicherung beziehen sich auf eines der Risiken, die ausdrÃ¼cklich in Art. 4 Abs. 1 VO Nr. 1408/71 aufgefÃ¼hrt sind, d.h. auf das in lit. e erwÃ¤hnte Unfallrisiko.</w:t>
      </w:r>
    </w:p>
    <w:p>
      <w:r>
        <w:t>4.4.3Â Â  Im Zentrum des FZA steht das Verbot der direkten und indirekten Diskriminierung aufgrund der StaatsangehÃ¶rigkeit. Das Diskriminierungsverbot gilt laut Art. 2 FZA bei der Anwendung des Abkommens gemÃ¤ss den AnhÃ¤ngen I, II und III, nach Art. 3 Abs. 1 der Verordnung Nr. 1408/71 im Rahmen der Systeme der sozialen Sicherheit und nach Art. 9 Abs. 2 Anhang I FZA bei den sozialen VergÃ¼nstigungen. Direkte Diskriminierungen sehen entweder die Versicherungsunterstellung oder eine Leistung nur fÃ¼r Schweizer/innen vor oder sie verlangen von EU/EFTA-AuslÃ¤nder/innen ein im Vergleich zu Schweizer/innen zusÃ¤tzliches Erfordernis. Indirekt diskriminierend sind nachteilige Normen, die zwar gleichermassen fÃ¼r InlÃ¤nder/innen wie fÃ¼r EU/EFTA-AuslÃ¤nder/innen gelten, die aber typischerweise hÃ¤ufiger die EU/EFTA-AuslÃ¤nder/innen treffen. Anders verhÃ¤lt es sich nur dann, wenn sie durch objektive, von der StaatsangehÃ¶rigkeit der betroffenen Arbeitnehmer unabhÃ¤ngige ErwÃ¤gungen gerechtfertigt sind und in einem angemessenen VerhÃ¤ltnis zu dem Zweck stehen, der mit den nationalen Rechtsvorschriften zulÃ¤ssigerweise verfolgt wird (BGE 131 V 214 ff. Erw. 6 mit Hinweisen auf die EuGH-Rechtsprechung).</w:t>
      </w:r>
    </w:p>
    <w:p>
      <w:r>
        <w:t>Â Â Â Â Â Â Â Â  Um festzustellen, ob die Verwendung eines bestimmten Unterscheidungsmerkmals im erwÃ¤hnten Sinne indirekt zu einer Ungleichbehandlung aufgrund der StaatsangehÃ¶rigkeit fÃ¼hrt, ist das VerhÃ¤ltnis zwischen NichtinlÃ¤ndern und InlÃ¤ndern innerhalb des benachteiligten beziehungsweise nicht begÃ¼nstigten Personenkreises auf der einen dem VerhÃ¤ltnis zwischen NichtinlÃ¤ndern und InlÃ¤ndern innerhalb der Vergleichsgruppe der nicht benachteiligten beziehungsweise der begÃ¼nstigten Personen auf der andern Seite gegenÃ¼berzustellen (vgl. Urteil des EuGH vom 21. September 2000 in der Rechtssache C-124/99, Borawitz, Slg. 2000, I-7293, Randnrn. 28 bis 31).</w:t>
      </w:r>
    </w:p>
    <w:p>
      <w:r>
        <w:t>4.4.4Â Â  Die Voraussetzungen von Art. 22 Abs. 4 UVV gelten fÃ¼r schweizerische und auslÃ¤ndische StaatsangehÃ¶rige gleichermassen. Eine direkte Diskriminierung liegt somit nicht vor. Dies ist insoweit unbestritten. Strittig ist hingegen, ob Art. 22 Abs. 4 Satz 3 UVV seinem Wesen nach eher auslÃ¤ndische als inlÃ¤ndische ErwerbstÃ¤tige benachteiligt, weil bei einem im Voraus befristeten unterjÃ¤hrigen ArbeitsverhÃ¤ltnis das damit erzielte Einkommen bei der Ermittlung des versicherten Verdienstes nicht auf das ganze Jahr umgerechnet wird. Dies ist wohl zu bejahen, zumal auslÃ¤ndische Arbeitnehmer Ã¶fters in befristeten unterjÃ¤hrigen ArbeitsverhÃ¤ltnissen tÃ¤tig sein dÃ¼rften als InlÃ¤nder (vgl. dazu auch Edgar Imhof, FZA/EFTA-Ãbereinkommen und soziale Sicherheit, Ein Ãberblick unter BerÃ¼cksichtigung der bis Juni 2006 ergangenen hÃ¶chstrichterlichen Rechtsprechung zum materiellen Koordinationsrecht, in: Jusletter vom 23. Oktober 2006, S. 8 f. Rz 29). Eine indirekte Diskriminierung ist hingegen zu verneinen. Wie bereits erwÃ¤hnt, liegt der Ordnung von Art. 22 Abs. 4 UVV das Ãquivalenzprinzip zu Grunde. Es entspricht dem Grundsatz der Kongruenz, dass der versicherte Verdienst bei einem befristeten unterjÃ¤hrigen ArbeitsverhÃ¤ltnis geringer ausfÃ¤llt als bei einer unbefristeten beziehungsweise befristeten Ã¼berjÃ¤hrigen Anstellung. Das Bundesgericht hat das Ãquivalenzprinzip im Zusammenhang mit Art. 86 Abs. 1 lit. b der Verordnung Ã¼ber die VerhÃ¼tung von UnfÃ¤llen und Berufskrankheiten (VUV) als objektiven und triftigen Grund anerkannt, welcher eine Ungleichbehandlung rechtfertigt (BGE 134 V 284 [Pra 2009 Nr. 60 S. 387]). Nach dieser Bestimmung erhÃ¤lt ein Arbeitnehmer, der von einer Arbeit befristet oder dauernd ausgeschlossen oder nur als bedingt geeignet erklÃ¤rt worden ist, vom Versicherer eine ÃbergangsentschÃ¤digung, wenn er in einem Zeitraum von zwei Jahren unmittelbar vor Erlass der VerfÃ¼gung oder vor einem medizinisch notwendigen und tatsÃ¤chlich vollzogenen Wechsel der BeschÃ¤ftigung bei einem der Versicherung unterstellten Arbeitgeber mindestens 300 Tage lang die gefÃ¤hrdende Arbeit ausgeÃ¼bt hat. Das Bundesgericht fÃ¼hrte dazu im besagten Entscheid im Wesentlichen aus, die obligatorische Versicherung gegen Berufskrankheiten werde vom Arbeitgeber finanziert (Art. 91 Abs. 1 UVG). Nur der Arbeitgeber eines der Versicherung unterstellten Arbeitnehmers - grundsÃ¤tzlich eines in der Schweiz beschÃ¤ftigten Arbeitnehmers (Art. 1a UVG) - unterliege dieser Finanzierungspflicht. Die Ã¶ffentliche Hand beteilige sich nicht an der Finanzierung der obligatorischen Versicherung. Und auch der Arbeitgeber eines nicht in der Schweiz beschÃ¤ftigten LohnempfÃ¤ngers beteilige sich nicht an den Kosten der Versicherung. Dies seien objektive und triftige GrÃ¼nde fÃ¼r das Erfordernis der Mindestdauer der Anstellung von 300 Tagen bei einem der Versicherung unterstellten Arbeitgeber (BGE 134 V 293 f. Erw. 4.5.3). Vorliegend geht es zwar nicht um eine ÃbergangsentschÃ¤digung im Sinne von Art. 86 VUV, sondern um die Ausrichtung von Renten als Folge eines Nichtbetriebsunfalls. Jedoch sind die Konstellationen von Art. 86 VUV und Art. 22 Abs. 4 UVV unter dem Gesichtspunkt der PrÃ¤mienpflicht vergleichbar. WÃ¤hrend Art. 86 VUV fÃ¼r die Entstehung des Anspruchs eine (durch den Arbeitgeber zu leistende) PrÃ¤mienbeitragspflicht von mindestens 300 Tagen vorsieht, bewirkt Art. 22 Abs. 4 UVV eine unterschiedliche Bemessung des versicherten Verdienstes je nachdem, ob aufgrund der vereinbarten Dauer des ArbeitsverhÃ¤ltnisses eine unter- oder ganzjÃ¤hrige Beitragsleistung der PrÃ¤mien vorgesehen war. Es rechtfertigt sich daher, das Ãquivalenzprinzip auch im Fall von Art. 22 Abs. 4 UVV als objektiven Grund anzuerkennen. Im Weiteren ist Art. 22 Abs. 4 UVV in Bezug auf das verfolgte Ziel schon alleine deshalb verhÃ¤ltnismÃ¤ssig, weil er eine Kongruenz von PrÃ¤mienpflicht und versichertem Verdienst gewÃ¤hrleistet. Dementsprechend begrÃ¼ndet Art. 22 Abs. 4 UVV keine unzulÃ¤ssige Diskriminierung.</w:t>
      </w:r>
    </w:p>
    <w:p>
      <w:r>
        <w:t>Â Â Â Â Â Â Â Â  Nach dem Gesagten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Dominique Chopard</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