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UV.2007.00295 vom 10. Februar 2009</w:t>
      </w:r>
    </w:p>
    <w:p>
      <w:r>
        <w:t>ZH Sozialversicherungsgericht, 2009-02-10, DE</w:t>
      </w:r>
    </w:p>
    <w:p>
      <w:r>
        <w:rPr>
          <w:b/>
        </w:rPr>
        <w:t xml:space="preserve">Quelle: </w:t>
      </w:r>
      <w:r>
        <w:t>https://mcp.opencaselaw.ch/entscheid/zh_sozialversicherungsgericht_UV.2007.00295</w:t>
      </w:r>
    </w:p>
    <w:p>
      <w:r>
        <w:t>FR: ZH_SOZIALVERSICHERUNGSGERICHT UV.2007.00295 du 10 février 2009</w:t>
      </w:r>
    </w:p>
    <w:p>
      <w:r>
        <w:t>IT: ZH_SOZIALVERSICHERUNGSGERICHT UV.2007.00295 del 10 febbraio 2009</w:t>
      </w:r>
    </w:p>
    <w:p>
      <w:pPr>
        <w:pStyle w:val="Heading2"/>
      </w:pPr>
      <w:r>
        <w:t>Erwägungen</w:t>
      </w:r>
    </w:p>
    <w:p>
      <w:r>
        <w:rPr>
          <w:b/>
        </w:rPr>
        <w:t>E. 2</w:t>
      </w:r>
    </w:p>
    <w:p>
      <w:r>
        <w:t>2.1Â Â Â Â  Nach Art. 24 Abs. 1 des Bundesgesetzes Ã¼ber die Unfallversicherung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2.2Â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2.3Â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2.4Â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2.5Â Â Â Â  Die Schwere des IntegritÃ¤tsschadens wird nach dem medizinischen Befund beurteilt.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Im Gegensatz zur Bemessung der Genugtuungssumme im Zivilrecht lassen sich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 1 mit Hinweisen; Urteil des EidgenÃ¶ssischen Versicherungsgerichts U 191/00 vom 14. Januar 2002, E. 2a).</w:t>
      </w:r>
    </w:p>
    <w:p>
      <w:r>
        <w:rPr>
          <w:b/>
        </w:rPr>
        <w:t>E. 2.6</w:t>
      </w:r>
    </w:p>
    <w:p>
      <w:r>
        <w:t>Â Â Â  Die Beurteilung der einzelnen IntegritÃ¤tseinbussen obliegt den Ã¤rztlichen SachverstÃ¤ndigen. Dem Gericht ist es nicht mÃ¶glich, die Beurteilung aufgrund der aktenkundigen Diagnosen selber vorzunehmen, da die AusschÃ¶pfung des in den Tabellen offengelassenen Bemessungsspielraums entsprechende Fachkenntnisse voraussetzt (RKUV 1998 Nr. U 296 S. 235 E. 2d; Urteile des EVG i.S. S. vom 28. Mai 2008, 8C_505/2007, E. 3.2, i.S. A. vom 23. April 2007, U 121/06, E. 4.2, i.S. R. vom 13. Januar 2002, U 191/00, E. 2c).</w:t>
      </w:r>
    </w:p>
    <w:p>
      <w:r>
        <w:t>2.7Â Â Â Â  Nach dem Gesagten ist im Folgenden daher zu prÃ¼fen, ob die fachÃ¤rztliche Beurteilung den rechtlichen Vorgaben standhÃ¤lt.</w:t>
      </w:r>
    </w:p>
    <w:p>
      <w:r>
        <w:rPr>
          <w:b/>
        </w:rPr>
        <w:t>E. 3</w:t>
      </w:r>
    </w:p>
    <w:p>
      <w:r>
        <w:t>3.1Â Â Â Â  Dr. med. E.___, FMH Psychiatrie und Psychotherapie, stellte in seinem Bericht vom 19. MÃ¤rz 2004 die Diagnose einer gegenwÃ¤rtig schweren Episode einer rezidivierenden depressiven StÃ¶rung ohne psychotische Symptome. Die Frage einer allfÃ¤lligen ArbeitsfÃ¤higkeit und die Suche nach Arbeit sei im Laufe der Behandlung Ã¶fter angesprochen worden. Der BeschwerdefÃ¼hrer habe aber mit einem Hinweis auf seine MÃ¼digkeit und SchwÃ¤che sowie seiner Angst vor weiteren anaphylaktischen AnfÃ¤llen abweisend reagiert (Urk. 9/85/3).</w:t>
      </w:r>
    </w:p>
    <w:p>
      <w:r>
        <w:t>3.2Â Â Â Â  Die Ãrzte der Klinik F.___ AG, Private Klinik fÃ¼r Psychiatrie und Psychotherapie, Dr. med. G.___, Oberarzt Forensik, und Prof. Dr. med. H.___, Ãrztlicher Direktor, diagnostizierten in ihrem Gutachten vom 30. Mai 2005 eine gegenwÃ¤rtig schwer ausgeprÃ¤gte rezidivierende depressive Episode ohne psychotische Symptome sowie eine andauernde PersÃ¶nlichkeitsÃ¤nderung nach Extrembelastung (Urk. 9/94 S. 22). Aufgrund der PersÃ¶nlichkeitsstruktur des BeschwerdefÃ¼hrers habe die durch die Berufskrankheit erzwungene Aufgabe des Betriebes den Zusammenbruch der Existenz bedeutet und zur Ausbildung der gegenwÃ¤rtig fest etablierten depressiven StÃ¶rung gefÃ¼hrt. Die Depression sei als mittelgradig bis erheblich einzustufen und die daraus folgende SuizidalitÃ¤t schwanke je nach Verfassung und KompensationsvermÃ¶genÂ  zwischen leichtgradiger bis erheblicher AusprÃ¤gung (Urk. 9/94 S. 23).</w:t>
      </w:r>
    </w:p>
    <w:p>
      <w:r>
        <w:t>3.3Â Â Â Â  Dr. med. D.___, FachÃ¤rztin fÃ¼r Psychiatrie und Psychotherapie, Abteilung Versicherungsmedizin der SUVA, erwÃ¤hnte in ihrem Aktengutachten vom 11. Oktober 2005, dass gemÃ¤ss dem Gutachten der Ãrzte der Klinik F.___ die Symptomatik in der Vergangenheit zwischen leicht und erheblich geschwankt sei, so dass im Durchschnitt von einer mittelschweren StÃ¶rung auszugehen sei. Es sei von einer dauerhaften Symptomatik auszugehen. Gesamthaft sei von einem Schweregrad von nahezu mittelschwer auszugehen. Dies entspreche einem IntegritÃ¤tsschaden von 45 % (Urk. 9/96).</w:t>
      </w:r>
    </w:p>
    <w:p>
      <w:r>
        <w:t>3.4Â Â Â Â  In ihrem Aktengutachten vom 10. Oktober 2007 fÃ¼hrte Dr. D.___ aus, dass aus den im Gutachten der Ãrzte der Klinik F.___ zum Teil als leicht, zum Teil als mittelschwer und vereinzelt auch als schwer ausgeprÃ¤gt bezeichneten Symptomen nicht ohne weiteres auf eine gesamthaft schwere Symptomatik zu schliessen sei. Sodann seien beim BeschwerdefÃ¼hrer auch Verhaltensweisen festzustellen, welche nicht zu einer depressiven StÃ¶rung gehÃ¶rten, wie beispielsweise AggressivitÃ¤t, WutausbrÃ¼che, impulsives Verhalten und Hadern mit dem Schicksal (Urk. 9/112 S. 5). Der BeschwerdefÃ¼hrer sei einerseits sehr leistungsorientiert und identifiziere sich stark mit seiner Arbeit,Â  andererseits auch impulsiv, misstrauisch, risikobereit und fÃ¼hle sich vom Leben betrogen. Dabei handle es sich um PersÃ¶nlichkeitszÃ¼ge des BeschwerdefÃ¼hrers, die unabhÃ¤ngig von der Berufskrankheit vorbestanden hÃ¤tten, und welche nicht ohne weiteres als Folgen der Berufskrankheit zu betrachten seien (Urk. 9/112 S. 6). Bei der Beurteilung des IntegritÃ¤tsschadens kÃ¶nne nur eine dauerhafte und erhebliche IntegritÃ¤tsbeeintrÃ¤chtigung berÃ¼cksichtigt werden, weshalb nichtÂ  ausschliesslich auf den aktuellen psychopathologischen Befund abzustellen sei. Sodann seien vorbestehende PersÃ¶nlichkeitseigenschaften von den Folgen der Berufskrankheit zu unterscheiden. Sowohl Dr. E.___ als auch die Ãrzte der Klinik F.___ hÃ¤tten schwer, mittelschwer und leicht ausgeprÃ¤gte Symptome der depressiven StÃ¶rung beschrieben. Gesamthaft sei daher von einer mittelschweren psychischen StÃ¶rung auszugehen. Selbst wenn man bei Annahme einer mittelschweren bis schweren psychischen StÃ¶rung gemÃ¤ss der Tabelle 19 von einem IntegritÃ¤tsschaden von 65 % ausginge, mÃ¼sste berÃ¼cksichtigt werden, dass die gesamte Symptomatik wesentlich durch vorbestehende PersÃ¶nlichkeitszÃ¼ge des BeschwerdefÃ¼hrers mitgeprÃ¤gt sei. Insgesamt sei die durch die Berufskrankheit verursachte IntegritÃ¤tseinbusse daher mit 45 % zu bemessen (Urk. 9/112 S. 7).</w:t>
      </w:r>
    </w:p>
    <w:p>
      <w:r>
        <w:t>4.Â Â Â Â Â Â  Es ist davon auszugehen, dass die Aktengutachten von Dr. D.___ vom 11. Oktober 2005 (Urk. 9/96) und vom 10. Oktober 2007 (Urk. 9/112) die nach der Rechtsprechung fÃ¼r eine beweiskrÃ¤ftige medizinische Entscheidungsgrundlage vorausgesetzten Kriterien erfÃ¼llen. Dr. D.___ waren sÃ¤mtliche medizinischen Vorakten bekannt. Sie setzte sich sodann eingehend mit der Beurteilung durch Dr. E.___ und derjenigen durch die Ãrzte der Klinik F.___ auseinander und begrÃ¼ndete in nachvollziehbarer Weise ihre EinschÃ¤tzung des IntegritÃ¤tsschadens. Die Beurteilung durch Dr. D.___ vermag daher auch inhaltlich zu Ã¼berzeugen. Nicht zu beanstanden ist insbesondere die Festsetzung des IntegritÃ¤tsschadens mit 45 % innerhalb der Bandbreite fÃ¼r mittelschwere psychische StÃ¶rungen von 35 % bis 50 % gemÃ¤ss Tabelle 19 (IntegritÃ¤tsschaden bei psychischen Folgen von UnfÃ¤llen). Diese Beurteilung hÃ¤lt auch einem Quervergleich mit den in Anhang 3 zur UVV aufgefÃ¼hrten IntegritÃ¤tsschÃ¤den stand, wonach eine BeeintrÃ¤chtigung von psychischen Teilfunktionen wie GedÃ¤chtnis und KonzentrationsfÃ¤higkeit einer IntegritÃ¤tseinbusse von 20 % entspricht. Eine rechtsfehlerhafte Handhabung des Ermessen durch Dr. D.___ ist nicht ersichtlich, weshalb fÃ¼r das Gericht kein Anlass besteht, in den fachÃ¤rztlichen Bemessungsspielraum einzugreifen (vgl. vorstehend Erw. 2.6). Auf die EinschÃ¤tzung des IntegritÃ¤tsschadens durch Dr. D.___ kann vorliegend daher abgestellt werden.</w:t>
      </w:r>
    </w:p>
    <w:p>
      <w:r>
        <w:t>5.Â Â Â Â Â Â  Nach Gesagtem ist die Feststellung einer IntegritÃ¤tseinbusse von 45 % fÃ¼r die psychischen Folgen der Berufskrankheit des BeschwerdefÃ¼hrers und die Zusprechung einer dieser IntegritÃ¤tseinbusse entsprechenden IntegritÃ¤tsentschÃ¤digung durch die Beschwerdegegnerin nicht zu beanstanden. Die gegen den angefochtenen Einspracheentscheid vom 16. Mai 2007 (Urk. 2) erhobene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Markus Bischoff</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