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UV.2007.00175 vom 30. August 2008</w:t>
      </w:r>
    </w:p>
    <w:p>
      <w:r>
        <w:t>ZH Sozialversicherungsgericht, 2008-08-30, DE</w:t>
      </w:r>
    </w:p>
    <w:p>
      <w:r>
        <w:rPr>
          <w:b/>
        </w:rPr>
        <w:t xml:space="preserve">Quelle: </w:t>
      </w:r>
      <w:r>
        <w:t>https://mcp.opencaselaw.ch/entscheid/zh_sozialversicherungsgericht_UV.2007.00175</w:t>
      </w:r>
    </w:p>
    <w:p>
      <w:r>
        <w:t>FR: ZH_SOZIALVERSICHERUNGSGERICHT UV.2007.00175 du 30 août 2008</w:t>
      </w:r>
    </w:p>
    <w:p>
      <w:r>
        <w:t>IT: ZH_SOZIALVERSICHERUNGSGERICHT UV.2007.00175 del 30 agosto 2008</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Ist die versicherte Person infolge des Unfalles zu mindestens 10 % invalid, so hat sie gemÃ¤ss Art. 18 Abs. 1 UVG Anspruch auf eine Invalidenrente. InvaliditÃ¤t ist die voraussichtlich bleibende oder lÃ¤ngere Zeit dauernde ganze oder teilweise ErwerbsunfÃ¤higkeit (Art. 8 Abs. 1 des Bundesgesetzes Ã¼ber den Allgemeinen Teil des Sozialversicherungsrechts [ATSG]). FÃ¼r die Bestimmung des InvaliditÃ¤tsgrades wird gemÃ¤ss Art. 16 ATSG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w:t>
      </w:r>
    </w:p>
    <w:p>
      <w:r>
        <w:t>Â Â Â Â Â Â Â Â  Der Rentenanspruch entsteht nach Art. 19 Abs. 1 UVG, wenn von der Fortsetzung der Ã¤rztlichen Behandlung keine namhafte Besserung des Gesundheitszustandes der versicherten Person mehr erwartet werden kann und allfÃ¤llige Eingliederungsmassnahmen der Invalidenversicherung abgeschlossen sind, wobei mit dem Rentenbeginn die Heilbehandlung und die Taggeldleistungen dahinfallen.</w:t>
      </w:r>
    </w:p>
    <w:p>
      <w:r>
        <w:rPr>
          <w:b/>
        </w:rPr>
        <w:t>E. 1.3</w:t>
      </w:r>
    </w:p>
    <w:p>
      <w:r>
        <w:t>1.3.1Â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1.3.2Â Â  GemÃ¤ss Art. 25 Abs. 2 UVG regelt der Bundesrat die Bemessung der EntschÃ¤digung. Von dieser Befugnis hat er in Art. 36 der Verordnung Ã¼ber die Unfallversicherung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1.3.3Â Â  Die Medizinische Abteilung der SUVA hat in Weiterentwicklung der bundesrÃ¤tlichen Skala weitere Bemessungsgrundlagen in tabellarischer Form (sogenannte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"Regelfall"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t>1.4Â Â Â Â  In der obligatorischen Unfallversicherung kann die Feststellung des rechtserheblichen medizinischen Sachverhalts erfolgen durch die vom Unfallversicherer eingeholten Berichte der behandelnden Ãrzte, einschliesslich der Spezial- und SpitalÃ¤rzte (Art. 53 Abs. 3 lit. a-c der Verordnung Ã¼ber die Unfallversicherung, UVV), durch die von einem Unfallversicherer eingeholten Arztberichte (gegebenenfalls auch angestellter Ãrzte), durch das von der versicherten Person beigezogene Parteigutachten (des behandelnden oder einer konsiliarisch beigezogenen Arztperson), das vom Unfallversicherer in Auftrag gegebene SachverstÃ¤ndigengutachten (Art. 44 ATSG; BGE 120 V 357) sowie durch das vom erst- oder letztinstanzlichen Gericht angeordnete medizinische Gutachten (BGE 122 V 159 Erw. 1b). Eine klare Abgrenzung zwischen medizinischen Gutachten (insbesondere Administrativgutachten) und einfachen beziehungsweise qualifizierten Ã¤rztlichen Stellungnahmen besteht nicht. Es liegt im pflichtgemÃ¤ssen Ermessen der Rechtsanwendenden, darÃ¼ber zu befinden, mit welchen Mitteln der Sachverhalt abzuklÃ¤ren ist und ob im Einzelfall ein einfacher Arztbericht genÃ¼gt, eine ergÃ¤nzende Untersuchung anzuordnen oder ein fÃ¶rmliches Gutachten einzuholen ist (BGE 122 V 160 Erw. 1b). Insbesondere hat die versicherte Person weder von Bundesrechts wegen noch auf Grund von Art. 6 Ziff. 1 der Konvention zum Schutze der Menschenrechte und Grundfreiheiten (EMRK) einen formellen Anspruch auf Beizug eines versicherungsexternen Gutachtens, wenn LeistungsansprÃ¼che streitig sind. Es ist grundsÃ¤tzlich zulÃ¤ssig, dass Verwaltung und Sozialversicherungsgericht den Entscheid allein auf versicherungsinterne Entscheidungsgrundlagen (Berichte und Gutachten) stÃ¼tzen (BGE 122 V 162 ff. Erw. 1d-3; Urteil des EidgenÃ¶ssischen Versicherungsgerichts vom 11. Juni 2003 in Sachen G., U 210/01, Erw. 3.1, 3.2).</w:t>
      </w:r>
    </w:p>
    <w:p>
      <w:r>
        <w:t>Â Â Â Â Â Â Â Â  Berichten von versicherungsinternen Ãrzten kann Beweiswert beigemessen werden, sofern sie als schlÃ¼ssig erscheinen, nachvollziehbar begrÃ¼ndet sowie in sich widerspruchsfrei sind und keine Indizien gegen ihre ZuverlÃ¤ssigkeit bestehen. Die Tatsache allein, dass der befragte Arzt oder die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(vgl. BGE 120 V 365 Erw. 3a in fine). Im Hinblick auf die erhebliche Bedeutung, welche den Arztberichten im Sozialversicherungsrecht zukommt, ist an die Unparteilichkeit des Gutachters allerdings ein strenger Massstab anzulegen (BGE 122 V 161).</w:t>
      </w:r>
    </w:p>
    <w:p>
      <w:r>
        <w:t>Â Â Â Â Â Â Â Â  Was Parteigutachten anbelangt, rechtfertigt der Umstand allein, dass eine Ã¤rztliche Stellungnahme von einer Partei eingeholt wird und in das Verfahren eingebracht wird, nicht Zweifel an ihrem Beweiswert. Daraus folgt indessen nicht, dass ein solches Gutachten den gleichen Rang wie ein vom Gericht oder von einem Unfallversicherer nach dem vorgegebenen Verfahrensrecht eingeholtes Gutachten besitzt. Es verpflichtet indessen - wie jede substantiiert vorgetragene Einwendung gegen ein solches Gutachten - den Richter, den von der Rechtsprechung aufgestellten Richtlinien fÃ¼r die BeweiswÃ¼rdigung folgend, zu prÃ¼fen, ob es in rechtserheblichen Fragen die Auffassungen und Schlussfolgerungen des vom Gericht oder vom Unfallversicherer fÃ¶rmlich bestellten Gutachters derart zu erschÃ¼ttern vermag, dass davon abzuweichen ist (BGE 125 V 354 Erw. 3c).</w:t>
      </w:r>
    </w:p>
    <w:p>
      <w:r>
        <w:rPr>
          <w:b/>
        </w:rPr>
        <w:t>E. 2</w:t>
      </w:r>
    </w:p>
    <w:p>
      <w:r>
        <w:t>2.1Â Â Â Â  Streitig und zu prÃ¼fen ist zunÃ¤chst die HÃ¶he der Invalidenrente.</w:t>
      </w:r>
    </w:p>
    <w:p>
      <w:r>
        <w:t>2.2Â Â Â Â  AnlÃ¤sslich der kreisÃ¤rztlichen Abschlussuntersuchung vom 11. November 2005 berichtete der BeschwerdefÃ¼hrer, er trage einen elastischen Gurt um den Rumpf. Dieser stÃ¼tze und wÃ¤rme ihn. Er kÃ¶nne langsam an einem StÃ¼ck etwa 20 Minuten gehen. Danach mÃ¼sse er sich setzen. Gesamthaft kÃ¶nne er so zwei Stunden unterwegs sein. Sitzen ohne Unterbruch sei 20 bis 30 Minuten mÃ¶glich. Dabei verÃ¤ndere er die KÃ¶rperstellung auf dem Stuhl und stÃ¼tze sich mit den HÃ¤nden zusÃ¤tzlich ab. Danach mÃ¼sse er wieder aufstehen. Liegen auf dem RÃ¼cken sei unbequem. Am besten liege er auf der rechten Seite. Auf der linken Seite liege er weniger gut. Das Umdrehen im Bett gelinge nun ordentlich. Auch tagsÃ¼ber lege er sich zwei- bis dreimal hin. Arbeiten auf TischhÃ¶he kÃ¶nne er erledigen. Nebst den RÃ¼ckenschmerzen habe er bisweilen auch Nacken- und Kopfschmerzen.</w:t>
      </w:r>
    </w:p>
    <w:p>
      <w:r>
        <w:t>Â Â Â Â Â Â Â Â  Die klinische Untersuchung ergab eine stark eingeschrÃ¤nkte Beweglichkeit der WirbelsÃ¤ule (Inklination 30Â°, Reklination 10Â°, Seitneigen je 10Â°) sowie eine Klopf- und RÃ¼tteldolenz im thorakolumbalen Ãbergang. Keine Klopf- oder RÃ¼ttelempfindlichkeit bestanden kranial und kaudal. Die Muskulatur war ordentlich entwickelt und nicht wesentlich verspannt. Die neu angefertigten RÃ¶ntgenbilder der LendenwirbelsÃ¤ule und des thorakolumbalen Ãbergangs zeigten eine seitliche Knickbildung auf dem Niveau BWK 12 nach Fraktur dieses Wirbels. Die dorsale HÃ¶he war erhalten, die ventrale um drei Viertel vermindert. Ventral war zwischen Th 11 und 12 eine kallÃ¶se ÃberbrÃ¼ckung ersichtlich. Die zusÃ¤tzliche Kyphosierung durch die Kompression von BWK 12 betrug um die 25Â°.</w:t>
      </w:r>
    </w:p>
    <w:p>
      <w:r>
        <w:t>Â Â Â Â Â Â Â Â  In der Beurteilung der ArbeitsfÃ¤higkeit fÃ¼hrte Dr. C.___ aus, die Belastbarkeit der WirbelsÃ¤ule sei wegen der Fehlform und der leichten InstabilitÃ¤t, welche aufgrund der lokalen Empfindlichkeit anzunehmen sei, vermindert. FÃ¼r TÃ¤tigkeiten mit mÃ¶glichen Wechseln zwischen Stehen, Sitzen und Gehen alle 30 Minuten, mit aufrechter KÃ¶rperstellung ohne grÃ¶ssere Verdrehungen des Rumpfes und mit Lasten bis hÃ¶chstens 10 kg kÃ¶nne theoretisch ein Arbeitseinsatz von zweimal drei Stunden pro Tag verlangt werden (Urk. 9/87-91).</w:t>
      </w:r>
    </w:p>
    <w:p>
      <w:r>
        <w:t>2.3Â Â Â Â  Am 12. MÃ¤rz 2007 begutachtete Prof. Dr. D.___ den BeschwerdefÃ¼hrer. Er hielt fest, es bestehe ein ausgeprÃ¤gter, im Wesentlichen tief ligamentÃ¤r-vertebraler Irritationszustand des erweiterten thorakolumbalen Ãbergangs bei einer nicht mit Sicherheit auszuschliessenden InstabilitÃ¤t der dorsalen Pseudarthrose innerhalb des WirbelkÃ¶rpers BWK 12 und einer ausgeprÃ¤gten lokalen Druckschmerzhaftigkeit der subcutanen Weichteilstrukturen des erweiterten thorakolumbalen Ãbergangs sowie im geringeren Ausmass der distalen LendenwirbelsÃ¤ule und des lumbosakralen Ãbergangs. Diese lokale schmerzhafte WirbelsÃ¤ulenproblematik habe zu einer eindrÃ¼cklichen Fehlhaltung der WirbelsÃ¤ule in Form eines innerhalb der unteren BrustwirbelsÃ¤ule auftretenden Links-Shifts verbunden mit einer weitgeschwungenen LinkskonvexitÃ¤t der Ã¼brigen BrustwirbelsÃ¤ule und mit einem Schulterhochstand links gefÃ¼hrt, was auch den Rumpf beziehungsweise die Rumpfmuskulatur asymmetrisch Ã¼berbelaste. Typisch fÃ¼r eine schmerzhafte vertebragene Problematik des thorakolumbalen Ãbergangs sei die unter diagnostischer Belastung schmerzhaft werdenden Musculus quadrati lumborum und ilipsoas auf beiden Seiten, die sich allerdings im tÃ¤glichen Leben nicht schmerzhaft manifestierten, aber eindeutig auf das Ursprungsgebiet der Schmerzentstehung hinwiesen. Der Gibbus oberhalb der vertieften Lordose der unteren und mittleren LendenwirbelsÃ¤ule sei nicht besonderes eindrÃ¼cklich, aber in den Links-Shift integriert. Zudem habe der BeschwerdefÃ¼hrer eine AnpassungsstÃ¶rung entwickelt.</w:t>
      </w:r>
    </w:p>
    <w:p>
      <w:r>
        <w:t>Â Â Â Â Â Â Â Â  Was die ArbeitsfÃ¤higkeit anbelange seien dem BeschwerdefÃ¼hrer lÃ¤ngerandauernde (Ã¼ber 15 Minuten) monotone Halteleistungen, zÃ¼gigflÃ¼ssige Bewegungen unter Einschluss der ExtremitÃ¤ten und des Rumpfes, einigermassen zeitgerechte Transfers vom und zum Sitzen oder Liegen, Rumpfbeugungen nach vorne, das Heben von auch nur kleinen Gewichten und schnelle repetitive Rumpfbewegungen nicht mehr zumutbar. In einem zeitlich beschrÃ¤nkten Ausmass von Abschnitten Ã¼ber rund 1,5 Stunden sei eine sitzende handwerklich leichte TÃ¤tigkeit mit der MÃ¶glichkeit zur wiederholten Entlastung und Umhergehen zumutbar, wenn die Kraftbelastung der HÃ¤nde beziehungsweise Arme und damit des SchultergÃ¼rtels minimal bleibe. Damit wÃ¼rden derartige Leistungen wÃ¤hrend einer auf 1,5 Stunden beschrÃ¤nkten Sitzdauer auf rund die HÃ¤lfte absinken. Unter BerÃ¼cksichtigung dieses posttraumatischen Befunds und Beschwerdebildes bestehe eine ArbeitsfÃ¤higkeit von maximal 30 % (Urk. 3/3).</w:t>
      </w:r>
    </w:p>
    <w:p>
      <w:r>
        <w:rPr>
          <w:b/>
        </w:rPr>
        <w:t>E. 3</w:t>
      </w:r>
    </w:p>
    <w:p>
      <w:r>
        <w:t>3.1Â Â Â Â  Dr. C.___ bezeichnete den medizinischen Endzustand als erreicht (Urk. 9/90). Prof. Dr. D.___ sah noch MÃ¶glichkeiten, Befindlichkeit und Beschwerden im Alltag zu verbessern. Dabei befÃ¼rwortete er einen ganzheitlichen therapeutischen Ansatz, der unter anderem die Wiederaufnahme der Physiotherapie umfasste. Eine namhafte Besserung des Gesundheitszustandes mit einer mÃ¶glichen Steigerung der ArbeitsfÃ¤higkeit erwartete aber auch er nicht (Urk. 3/3 S. 9 ff.). Der Abschluss des Falles mit der PrÃ¼fung der Rentenfrage per 1. Juli 2006 ist daher nicht zu beanstanden.</w:t>
      </w:r>
    </w:p>
    <w:p>
      <w:r>
        <w:t>3.2Â Â Â Â  Sowohl Dr. C.___ als auch Prof. Dr. D.___ nahmen aufgrund der klinischen Befunde eine InstabilitÃ¤t der WirbelsÃ¤ule an. Morphologisch liess sich eine solche anhand der im Nachgang zur kreisÃ¤rztlichen Untersuchung vom BeschwerdefÃ¼hrer selber veranlassten Computertomographie indessen nicht nachweisen (Urk. 9/139, Urk. 9/152). Ebenfalls war auf dieser Computertomographie keine Pseudarthrose im Bereich der ehemaligen Chance-Fraktur mehr ersichtlich (Urk. 9/139). Ausgewiesen ist, dass die Beweglichkeit der WirbelsÃ¤ule wegen ihrer Fehlform eingeschrÃ¤nkt ist. WÃ¤hrend Dr. C.___ in diesem Zusammenhang primÃ¤r auf die erhebliche Kyphosierung hinwies, betonte Prof. Dr. D.___ den Links-Shift, der tiefthorokal bis 2 cm betrage (Urk. 3/3 S. 8 und 10, Urk. 9/91). Letztere Fehlhaltung entging auch Dr. C.___ nicht, zumal er die SagittalkrÃ¼mmungen als unregelmÃ¤ssig beschrieb (Urk. 9/87/2). Jedoch mass er diesem Befund keine grosse Relevanz zu. Prof. Dr. D.___ wies vor allem im Zusammenhang mit dem Irritationszustand des erweiterten thorakolumbalen Ãbergangs auf Weichteilbeschwerden hin. Dass aufgrund der Folgen der Chance-Fraktur die Beweglichkeit des RÃ¼ckens schmerzhaft eingeschrÃ¤nkt ist, anerkannte auch Dr. C.___ und wurde von ihm bei der Zumutbarkeitsbeurteilung berÃ¼cksichtigt. DarÃ¼ber hinaus ist fÃ¼r die muskulÃ¤ren Beschwerden, soweit sie Prof. Dr. D.___ bei seiner Zumutbarkeitsbeurteilung berÃ¼cksichtigt, kein organisches Substrat auszumachen (vgl. Urk. 3/3 S. 7 ff., Urk. 9/152), was aber fÃ¼r ihre BegrÃ¼ndetheit Voraussetzung ist (vgl. Urteil des Bundesgerichts, I. sozialrechtliche Abteilung, in Sachen B. vom 2. Juli 2008, 8C_756/2007, Erw. 5.4). Neurologische AusfÃ¤lle bestehen aktenkundig nicht (Urk. 9/5-6, Urk. 9/17, Urk. 9/33 S. 3, vgl. auch Urk. 9/152).</w:t>
      </w:r>
    </w:p>
    <w:p>
      <w:r>
        <w:t>Â Â Â Â Â Â Â Â  Daraus ergibt sich, dass Dr. C.___ und Prof. Dr. D.___ vom selben Zustandsbild ausgingen, wobei Dr. C.___ mit Ausnahme der im Nachgang der kreisÃ¤rztlichen Abschlussuntersuchung angefertigten Computertomographie im Besitze der jeweils aktuellen RÃ¶ntgenbilder war. Derweil hatte Prof. Dr. D.___ offenbar lediglich die entsprechenden Berichte, nicht aber die Originalbilder zur VerfÃ¼gung (vgl. Urk. 3/4, Urk. 9/19,Â  Urk. 9/91). Im Wesentlichen sind sie sich einig, dass lediglich eine wechselbelastende TÃ¤tigkeit mit nur geringer Beanspruchung des Rumpfes zumutbar ist. Unterschiedliche EinschÃ¤tzungen bestehen insbesondere hinsichtlich des zeitlichen Umfangs. Dr. C.___ erachtet die AusÃ¼bung einer leidensangepassten TÃ¤tigkeit wÃ¤hrend zweimal drei Stunden pro Tag als zumutbar. DemgegenÃ¼ber hÃ¤lt Prof. Dr. D.___ hÃ¶chstens ein 30 %-Pensum fÃ¼r zumutbar. Eine Zumutbarkeitsbeurteilung kann von der Natur der Sache her nicht ermessensfrei erfolgen. FÃ¼r die Beurteilung von Dr. C.___ spricht, dass eine orthopÃ¤disch traumatologische Problematik vorliegt, fÃ¼r deren Beurteilung Dr. C.___ aufgrund seiner Fachrichtung als geeigneter erscheint. Seine Beurteilung entspricht den rechtsprechungsgemÃ¤ss geforderten Kriterien (vgl. Erw. 1.4) und Ã¼berzeugt. Dementsprechend kommt ihr voller Beweiswert zu. Da Prof. Dr. D.___ keine objektiv feststellbaren Gesichtspunkte vorzubringen vermag, welche geeignet sind, zu einer abweichenden Beurteilung zu fÃ¼hren, vermag sein Privatgutachten die Beurteilung von Dr. C.___ nicht in Frage zu stellen. Es ist daher davon auszugehen, dass dem BeschwerdefÃ¼hrer eine wechselbelastende TÃ¤tigkeit von zweimal drei Stunden zumutbar ist.</w:t>
      </w:r>
    </w:p>
    <w:p>
      <w:r>
        <w:t>Â Â Â Â Â Â Â Â  Nicht stichhaltig ist der Einwand des BeschwerdefÃ¼hrers, Dr. C.___ spreche sich nicht hinreichend Ã¼ber die ArbeitsfÃ¤higkeit aus (Urk. 1 S. 6). Zumutbarkeitsprofil und Dauer sind hinreichend bestimmt. Eine exakte Bezifferung der ArbeitsfÃ¤higkeit in Prozenten ist nicht nÃ¶tig. Die Angabe, dass ein Arbeitseinsatz zweimal drei Stunden pro Tag mÃ¶glich ist, genÃ¼gt. Zu beurteilen ist der medizinische Endzustand. Es kann daher entgegen der Ansicht des BeschwerdefÃ¼hrers nicht gesagt werden, die Beurteilung von Dr. C.___ sei veraltet (vgl. Urk. 1 S. 6). Ebenfalls vermÃ¶gen die Berichte des Hausarztes Dr. med. M.___, welcher von einer ArbeitsunfÃ¤higkeit ausgeht, die fachÃ¤rztliche Beurteilung von Dr. C.___ nicht in Zweifel zu ziehen, zumal auch er keine Befunde erhebt oder Diagnosen stellt, die nicht bereits bekannt wÃ¤ren (Urk. 9/55, Urk. 9/79, Urk. 9/113/4, Urk. 9/113/6, Urk. 9/137/7).</w:t>
      </w:r>
    </w:p>
    <w:p>
      <w:r>
        <w:t>3.3Â Â Â Â  Unter anderem diagnostizierte Prof. Dr. D.___, obschon nicht sein Fachgebiet betreffend, eine AnpassungsstÃ¶rung (Urk. 3/3 S. 8). Einen Einfluss dieser StÃ¶rung auf die ArbeitsfÃ¤higkeit nahm Prof. Dr. D.___ offenbar nicht an, zumal er nichts dahingehend vermerkte (vgl. Urk. 3/3). Weitere AbklÃ¤rungen diesbezÃ¼glich erÃ¼brigen sich. Selbst wenn eine AnpassungsstÃ¶rung mit Auswirkung auf die ArbeitsfÃ¤higkeit bestÃ¼nde, begrÃ¼ndete sie keine Leistungspflicht der SUVA, weil die AdÃ¤quanz - in PrÃ¼fung nach den in BGE 115 V 141 ff. festgelegten GrundsÃ¤tzen - zu verneinen wÃ¤re. Der Unfall ist als mittelschwer zu qualifizieren. Die AdÃ¤quanz wÃ¤re daher praxisgemÃ¤ss zu bejahen, wenn mehrere der in die Beurteilung einzubeziehenden Kriterien, welche erfÃ¼llt wÃ¤ren oder ein einzelnes Kriterium in besonders ausgeprÃ¤gter Weise gegeben wÃ¤re (BGE 115 V 141 Erw. 6c/aa), was aber nicht der Fall ist. Der Unfall ereignete sich weder unter besonders dramatischen BegleitumstÃ¤nden, noch war er besonders eindrÃ¼cklich. Ebenso erlitt der BeschwerdefÃ¼hrer keine Verletzungen, welche erfahrungsgemÃ¤ss zu psychischen Fehlentwicklungen fÃ¼hren. Die Ã¤rztliche Behandlung erfolgte konservativ, insbesondere in Form von Physiotherapie, und dauerte nicht ungewÃ¶hnlich lang. Eine Ã¤rztliche Fehlbehandlung oder ein schwieriger Heilungsverlauf liegen nicht vor. Zu bejahen sind einzig, jedoch nicht einem ausgeprÃ¤gten Ausmass, die Kriterien der langandauernden ArbeitsunfÃ¤higkeit und kÃ¶rperlichen Dauerschmerzen.</w:t>
      </w:r>
    </w:p>
    <w:p>
      <w:r>
        <w:rPr>
          <w:b/>
        </w:rPr>
        <w:t>E. 4</w:t>
      </w:r>
    </w:p>
    <w:p>
      <w:r>
        <w:t>4.1Â Â Â Â  Zur Bestimmung des InvaliditÃ¤tsgrades ist ein Einkommensvergleich vorzunehmen. Da nach einer Erfahrungstatsache die versicherte Person im Gesundheitsfall zumeist die bisherige TÃ¤tigkeit weitergefÃ¼hrt hÃ¤tte, ist fÃ¼r die Ermittlung des Valideneinkommens in der Regel von der letzten BeschÃ¤ftigung auszugehen, die die versicherte Person vor Eintritt der GesundheitsschÃ¤digung ausgeÃ¼bt hat, und der damit erzielte Lohn der Teuerung und Reallohnentwicklung bis zum Zeitpunkt des Rentenbeginns anzupassen (RKUV 1993 Nr. U 168 S. 100 Erw. 3b; AHI 2000 S. 303, BGE 128 V 174). Aufgrund der Angaben der A.___ ist ein Valideneinkommen per 2006 von Fr. 63'375.-- ausgewiesen (Urk. 9/93). Dies ist seitens der Parteien unbestritten (Urk. 1, Urk. 2).</w:t>
      </w:r>
    </w:p>
    <w:p>
      <w:r>
        <w:t>4.2Â Â Â Â  Das Invalideneinkommen ist dann eine hypothetische GrÃ¶sse, wenn die versicherte Person die ihr auch mit Gesundheitsschaden verbliebene ArbeitsfÃ¤higkeit nicht mehr oder nicht in zumutbarer Weise verwertet (BGE 114 V 314 Erw. 3b). FÃ¼r die Bestimmung des hypothetischen Invalideneinkommens kÃ¶nnen praxis-gemÃ¤ss entweder die LÃ¶hne von noch in Frage kommenden TÃ¤tigkeiten in verschiedenen Betrieben der Region der versicherten Person, welche in der Dokumentation Ã¼ber ArbeitsplÃ¤tze (DAP) erfasst sind, (RKUV 1999 Nr. U 343 S. 412 Erw. 4) oder die TabellenlÃ¶hne gemÃ¤ss der vom Bundesamt fÃ¼r Statistik herausgegebenen Schweizerischen Lohnstrukturerhebung (LSE) herangezogen werden. Im letzteren Fall ist auf die im Anhang der LSE enthaltene Statistik der LohnsÃ¤tze, genauer auf die standardisierten BruttolÃ¶hne der Tabellengruppe A, abzustellen. Dabei ist vom so genannten Medianwert auszugehen, der in der Regel tiefer liegt als das arithmetische Mittel, da er ausserordentlich hohe sowie ausserordentlich tiefe Werte nicht berÃ¼cksichtigt. Massgebend sind in erster Linie die LohnverhÃ¤ltnisse im privaten Sektor. Schliesslich gilt es zu berÃ¼cksichtigen, dass dieser Statistik generell eine Arbeitszeit von 40 Wochenstunden zugrunde liegt, welcher Wert tiefer liegt als die betriebsÃ¼bliche durchschnittliche Arbeitszeit der vergangenen Jahre. Daher ist der Medianlohn entsprechend der tatsÃ¤chlichen Durchschnittszeit des fraglichen Jahres hochzurechnen (vgl. BGE 126 V 77 f. Erw. 3b/bb, 124 V 322 Erw. 3b/aa; RKUV 2001 Nr. U 439 S. 347). Â Â Â Â Â Â Â</w:t>
      </w:r>
    </w:p>
    <w:p>
      <w:r>
        <w:t>Â Â Â Â Â Â Â Â  Der BeschwerdefÃ¼hrer kann nicht vorgebeugt arbeiten, nur geringe Gewichte heben und sollte abwechselnd sitzen, stehen und gehen (Urk. 9/91). Es ist der Beschwerdegegnerin beizupflichten, dass die verbleibende ArbeitsfÃ¤higkeit auf dem allgemeinen Arbeitsmarkt verwertbar ist. FÃ¼r die InvaliditÃ¤tsbemessung ist nicht darauf abzustellen, ob ein Invalider unter den konkreten ArbeitsmarktverhÃ¤ltnissen vermittelt werden kann, sondern einzig darauf, ob er die ihm verbliebene Arbeitskraft noch wirtschaftlich nutzen kÃ¶nnte, wenn die verfÃ¼gbaren ArbeitsplÃ¤tze dem Angebot an ArbeitskrÃ¤ften entsprechen wÃ¼rden (AHI 1998 S. 287). Der Begriff des ausgeglichenen Arbeitsmarktes umfasst u.a. einen FÃ¤cher verschiedenster TÃ¤tigkeiten (BGE 110 V 276 Erw. 4b). FÃ¼r den BeschwerdefÃ¼hrer kommen insbesondere Kontroll- und Ãberwachungsfunktionen in Frage (vgl. Urteile des EidgenÃ¶ssischen Versicherungsgerichts in Sachen S. vom 5. August 2005, I 602/04, Erw. 5.3.3 und 6.3, und in Sachen L. vom 10. April 2006, U 48/06, Erw. 4.4, in Bezug auf Ã¤hnliche Fall-Konstellationen).</w:t>
      </w:r>
    </w:p>
    <w:p>
      <w:r>
        <w:t>Â Â Â Â Â Â Â Â  Zur Bestimmung des Invalideneinkommens stellte die Beschwerdegegnerin auf TabellenlÃ¶hne der LSE ab (Urk. 2), was nicht zu beanstanden ist. EinschlÃ¤gig ist die Tabelle TA1, Anforderungsniveau 4 (privater Sektor, einfache und repetitive TÃ¤tigkeiten). Allerdings hat die Beschwerdegegnerin die statistischen Unterlagen des Jahres 2004 statt diejenigen des Jahres des Rentenbeginns, des Jahres 2006, berÃ¼cksichtigt. Diese Statistik zeigt in der entsprechenden Skala ein leicht hÃ¶heres monatliches Einkommen (Fr. 4'732.--). Zu Gunsten des BeschwerdefÃ¼hrers ist von einer diesbezÃ¼glichen Ãnderung, da diese nur in einem sehr geringen Ausmass besteht, abzusehen. Der massgebende Bruttolohn betrÃ¤gt somit Fr. 4'588.-- bei einer wÃ¶chentlichen Arbeitszeit von 40 Stunden (LSE 2004, S. 53, Tabelle TA1). Umgerechnet auf die 2006 betriebsÃ¼bliche Arbeitszeit von 41,7 Stunden (vgl. Die Volkswirtschaft, 7/8 - 2008, S. 90, Tabelle B9.2) und unter BerÃ¼cksichtigung der Nominallohnentwicklung fÃ¼r MÃ¤nner von 2004 bis 2006 von 1,97 % ergibt sich hochgerechnet auf das Jahr ein Betrag von Fr. 58'526.60. Dem BeschwerdefÃ¼hrer ist ein Wochenpensum von 30 Stunden zumutbar (zweimal drei Stunden an fÃ¼nf Tagen). Ausgehend von der betriebsÃ¼blichen Arbeitszeit von 41,7 Stunden als Vollpensum setzte die Beschwerdegegnerin das Wochenpensum von 30 Stunden einem Teilzeitpensum von 72 % gleich (Urk. 2). Dies ist nicht zu beanstanden. Auszugehen ist damit von einem Lohn von Fr. 42'139.15. Davon kann unter bestimmten, von der Rechtsprechung umschriebenen Voraussetzungen ein Abzug vorgenommen werden, wobei dieser fÃ¼r sÃ¤mtliche in Betracht fallenden UmstÃ¤nde (leidensbedingte EinschrÃ¤nkung, Alter, Dienstjahre, NationalitÃ¤t bzw. Aufenthaltskategorie und BeschÃ¤ftigungsgrad) gesamthaft zu schÃ¤tzen ist und unter Einfluss sÃ¤mtlicher Merkmale auf hÃ¶chstens 25 % zu beschrÃ¤nken ist (BGE 129 V 481 Erw. 4.2.3. mit Hinweisen). Die Beschwerdegegnerin berÃ¼cksichtigte dabei ein leidensbedingter Abzug wegen des Alters und des nur noch reduziert mÃ¶glichen BeschÃ¤ftigungsgrades und nahm unter BerÃ¼cksichtigung dieser UmstÃ¤nde einen 15%igen Abzug vor. Damit blieb sie im Rahmen des ihr zustehenden Ermessens, in welches nicht ohne triftigen Grund einzugreifen ist (Urteil des EidgenÃ¶ssischen Versicherungsgerichts in Sachen O. vom 14. Juli 2006, I 337/06, Erw. 3.2). Zu Recht wies sie darauf hin, dass ein hÃ¶herer Abzug aufgrund der NationalitÃ¤t, der Anzahl Dienstjahre der schlechten Ausbildung nicht gerechtfertigt ist, zumal der BeschwerdefÃ¼hrer Schweizer ist (Urk. 9/64/6), er die Stelle bei der A.___ am 1. Januar 2000 antrat (Urk. 9/1), mithin noch nicht viele Dienstjahre aufwies und dieses Kriterium wie auch die schlechte Ausbildung beim Anforderungsprofil 4 nicht wesentlich ins Gewicht fallen (vgl. Urteil des EidgenÃ¶ssischen Versicherungsgericht in Sachen O. vom 6. Juli 2007, I 620/06, Erw. 6.2). Dementsprechend ergibt sich ein Betrag von Fr. 35'818.30. Gemessen am Valideneinkommen von Fr. 63'375.-- resultiert bei einer Differenz von Fr. 27'556.75 ein InvaliditÃ¤tsgrad von 43,48 %, was gerundet 43 % ergibt (BGE 130 V 121). Der von der Beschwerdegegnerin festgelegte InvaliditÃ¤tsgrad von 44 % ist daher nicht zu beanstanden.</w:t>
      </w:r>
    </w:p>
    <w:p>
      <w:r>
        <w:rPr>
          <w:b/>
        </w:rPr>
        <w:t>E. 5</w:t>
      </w:r>
    </w:p>
    <w:p>
      <w:r>
        <w:t>5.1Â Â Â Â  Zu prÃ¼fen bleibt der Anspruch auf eine IntegritÃ¤tsentschÃ¤digung.</w:t>
      </w:r>
    </w:p>
    <w:p>
      <w:r>
        <w:t>5.2Â Â Â Â  Dr. C.___ schÃ¤tzte den Schaden an der WirbelsÃ¤ule mit 20 %. Er stÃ¼tzte sich dabei auf die Tabelle 7 der SUVA (IntegritÃ¤tsschaden bei WirbelsÃ¤ulenaffektionen). Danach besteht bei Frakturen der WirbelsÃ¤ule, inklusive Kyphose, Keilwinkel Ã¼ber 21Â°, ein Schaden von 15 bis 20 % bei geringen Dauerschmerzen, verstÃ¤rkt bei Belastung und auch in Ruhe bestehend (Schmerzfunktionsskala ++). Ein Schaden von 20 bis 30 % beziehungsweise bis 50 % besteht bei starken Dauerschmerzen, eine Zusatzbelastung verunmÃ¶glichend, auch nachts und in Ruhe bestehend sowie bei VerstÃ¤rkung eine lange Erholungszeit erfordernd (Schmerzfunktionsskala +++).</w:t>
      </w:r>
    </w:p>
    <w:p>
      <w:r>
        <w:t>Â Â Â Â Â Â Â Â  Dr. C.___ erachtete die Anwendung der Schmerzfunktionsskala ++ aufgrund des Verhaltens des BeschwerdefÃ¼hrers in der Untersuchung, seinen Angaben und seinen AktivitÃ¤ten als angemessen und nahm mit 20 % den oberen Wert an (Urk. 9/90, Urk. 9/117). DemgegenÃ¼ber will der BeschwerdefÃ¼hrer gestÃ¼tzt auf die Beurteilung von Prof. Dr. D.___ die Schmerzfunktionsskala +++ angewendet wissen und schÃ¤tzt den IntegritÃ¤tsschaden auf 30 bis 50 % (Urk. 1 S. 8, Urk. 3/3 S. 14). Es bestehen Dauerschmerzen, die nach Angaben des BeschwerdefÃ¼hrers eine HaltungsÃ¤nderung nach 10 bis 30 Minuten erfordern (Urk. 3/3 S. 3, Urk. 9/79, Urk. 9/87, Urk. 9/113/4, Urk. 9/113/6). Der BeschwerdefÃ¼hrer vermag gewisse Arbeiten im Haushalt zu erledigen sowie Arbeiten auf TischhÃ¶he auszufÃ¼hren. Insofern sind Zusatzbelastungen mÃ¶glich. Hingehen bestehen die Schmerzen auch in Ruhe und zwingen den BeschwerdefÃ¼hrer nachts zu Positionswechseln (Urk. 9/87). Da die SchÃ¤tzung des IntegritÃ¤tsschaden abstrakt und egalitÃ¤r zu erfolgen hat (BGE 115 V 147 Erw. 1 mit Hinweis), ist Dr. E.___ beizupflichten, dass nicht allein auf die subjektiven Angaben des BeschwerdefÃ¼hrers abgestellt werden kann (Urk. 9/152). Zu beachten ist ebenfalls, dass es um einen lokalen Befund an einem einzigen Wirbel ohne neurologischen AusfÃ¤lle geht, was auch Prof. Dr. D.___ anerkennt, keine zusÃ¤tzliche Skoliose besteht, der Spinalkanal nicht relevant eingeengt und eine Pseudarthrose nicht mehr erkennbar ist. Eine InstabilitÃ¤t hat Dr. C.___ berÃ¼cksichtigt (Urk. 9/91, Urk. 9/139). Unter diesen UmstÃ¤nden ist der von Dr. C.___ festgesetzte IntegritÃ¤tsschaden von 20 % nicht zu beanstanden, zumal er dem oberen Wert der Schmerzfunktionsskala ++ beziehungsweise dem unteren Wert der Schmerzfunktionsskala +++ entspricht. In Bezug auf die EinschÃ¤tzung von Prof. Dr. D.___ moniert im Ãbrigen Dr. E.___ zu Recht, dass dieser auch die WeichteilschÃ¤digungen in seine SchÃ¤tzung einfliessen lÃ¤sst (Urk. 3/3, Urk. 9/152, Urk. 13), deren Dauerhaftigkeit als fraglich erscheint.</w:t>
      </w:r>
    </w:p>
    <w:p>
      <w:r>
        <w:t>Â Â Â Â Â Â Â Â  Die von der SUVA zugesprochene IntegritÃ¤tsentschÃ¤digung fÃ¼r eine Einbusse von 20 % ist daher zu bestÃ¤tigen.</w:t>
      </w:r>
    </w:p>
    <w:p>
      <w:r>
        <w:t>6.Â Â Â Â Â Â  Zusammenfassend sind die von der Beschwerdegegnerin festgesetzte InvaliditÃ¤t des BeschwerdefÃ¼hrers von 44 % und die festgestellte IntegritÃ¤tsentschÃ¤digung fÃ¼r eine Einbusse von 20 % nicht zu beanstanden. Damit ist die Beschwerde vollumfÃ¤nglich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Peter Stadler</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