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UV.2006.00399 vom 29. Mai 2008</w:t>
      </w:r>
    </w:p>
    <w:p>
      <w:r>
        <w:t>ZH Sozialversicherungsgericht, 2008-05-29, DE</w:t>
      </w:r>
    </w:p>
    <w:p>
      <w:r>
        <w:rPr>
          <w:b/>
        </w:rPr>
        <w:t xml:space="preserve">Quelle: </w:t>
      </w:r>
      <w:r>
        <w:t>https://mcp.opencaselaw.ch/entscheid/zh_sozialversicherungsgericht_UV.2006.00399</w:t>
      </w:r>
    </w:p>
    <w:p>
      <w:r>
        <w:t>FR: ZH_SOZIALVERSICHERUNGSGERICHT UV.2006.00399 du 29 mai 2008</w:t>
      </w:r>
    </w:p>
    <w:p>
      <w:r>
        <w:t>IT: ZH_SOZIALVERSICHERUNGSGERICHT UV.2006.00399 del 29 maggio 2008</w:t>
      </w:r>
    </w:p>
    <w:p>
      <w:pPr>
        <w:pStyle w:val="Heading2"/>
      </w:pPr>
      <w:r>
        <w:t>Erwägungen</w:t>
      </w:r>
    </w:p>
    <w:p>
      <w:r>
        <w:rPr>
          <w:b/>
        </w:rPr>
        <w:t>E. 1</w:t>
      </w:r>
    </w:p>
    <w:p>
      <w:r>
        <w:t>1.1Â Â Â Â  Strittig sind einerseits die HÃ¶he sowohl der Invalidenrente als auch der IntegritÃ¤tsentschÃ¤digung und andererseits der Anspruch des BeschwerdefÃ¼hrers auf unentgeltliche RechtsverbeistÃ¤ndung im Rahmen des Einspracheverfahrens der SUVA.</w:t>
      </w:r>
    </w:p>
    <w:p>
      <w:r>
        <w:t>1.2Â Â Â Â  Ist die versicherte Person infolge des Unfalles zu mindestens 10 Prozent invalid (Art. 8 des Bundesgesetzes Ã¼ber den Allgemeinen Teil des Sozialversicherungsrechts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1.3Â Â Â Â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1.4Â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1.5Â Â 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1.6Â Â 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 des HÃ¶chstbetrages des versicherten Verdienstes ergÃ¤be (Ziff. 2).</w:t>
      </w:r>
    </w:p>
    <w:p>
      <w:r>
        <w:t>1.7Â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1.8Â Â Â Â  Fallen mehrere kÃ¶rperliche oder geistige IntegritÃ¤tsschÃ¤den aus einem oder mehreren UnfÃ¤llen zusammen, so wird die IntegritÃ¤tsentschÃ¤digung nach der gesamten BeeintrÃ¤chtigung festgesetzt (Art. 36 Abs. 3 Satz 1 UVV). Dabei werden die einzelnen Prozentzahlen zusammengezÃ¤hlt, selbst wenn keine SchÃ¤digung den Grenzwert von 5 Prozent erreicht. Die EntschÃ¤digung ist geschuldet, sobald die Summe der addierten Prozentzahlen den Wert von 5 Prozent oder mehr ergibt (RKUV 1989 Nr. U 78 S. 361). Die Bestimmung regelt grundsÃ¤tzlich nur das Zusammentreffen von IntegritÃ¤tsschÃ¤den, die nach dem UVG als solche versichert sind (BGE 113 V 58).</w:t>
      </w:r>
    </w:p>
    <w:p>
      <w:r>
        <w:rPr>
          <w:b/>
        </w:rPr>
        <w:t>E. 2</w:t>
      </w:r>
    </w:p>
    <w:p>
      <w:r>
        <w:t>2.1Â Â Â Â  Die SUVA begrÃ¼ndete ihren Einspracheentscheid vom 20. September 2006 (Urk. 2) unter Hinweis auf die Zumutbarkeitsbeurteilung (Urk. 15/65 S. 3) und die Beurteilung des IntegritÃ¤tsschadens (Urk. 15/66) von Kreisarzt Dr. med. A.___, Facharzt FMH fÃ¼r Chirurgie, vom 13. April 2005 im Wesentlichen damit, dass der BeschwerdefÃ¼hrer in einer leidensangepassten TÃ¤tigkeit wieder zu 100 % arbeitsfÃ¤hig sei. Setze man das aufgrund von Dokumenten Ã¼ber ArbeitsplÃ¤tze (DAP) fÃ¼r eine noch zumutbare ArbeitstÃ¤tigkeit ermittelte Invalideneinkommen in Bezug zum Einkommen, das der BeschwerdefÃ¼hrer, wÃ¤re es nicht zum Unfall gekommen, gemÃ¤ss Auskunft seines Arbeitgebers im Jahr 2005 erzielt hÃ¤tte, so resultiere ein ErwerbsunfÃ¤higkeitsgrad beziehungsweise eine Invalidenrente von 24 % (vgl. Urk. 2 S. 4 f.). Aus der verbleibenden LÃ¤hmung des Nervus ulnaris und der EinschrÃ¤nkung der Ellbogenbeweglichkeit resultiere gemÃ¤ss der entsprechenden SUVA-Tabelle eine IntegritÃ¤tseinbusse von 20 % (vgl. Urk. 2 S. 6). Angesichts des monatlichen EinkommensÃ¼berschusses des BeschwerdefÃ¼hrers im Umfang von Fr. 528.05 seien dessen BedÃ¼rftigkeit und damit auch dessen Anspruch auf unentgeltliche RechtsverbeistÃ¤ndung zu verneinen (vgl. Urk. 2 S. 7).</w:t>
      </w:r>
    </w:p>
    <w:p>
      <w:r>
        <w:t>2.2Â Â Â Â  Der BeschwerdefÃ¼hrer stellte sich demgegenÃ¼ber im Wesentlichen auf den Standpunkt, die der Rentenberechnung zugrunde gelegten DAP trÃ¼gen seinen gesundheitlichen BeeintrÃ¤chtigungen nicht angemessen Rechnung; die tatsÃ¤chlich noch zumutbaren TÃ¤tigkeiten bedingten ein tieferes als das von der SUVA ermittelte Invalideneinkommen (vgl. Urk. 1 S. 5). Nehme man davon noch einen aufgrund der UmstÃ¤nde gerechtfertigten Abzug von 25 % vor, resultiere ein InvaliditÃ¤tsgrad von mindestens 43 % (vgl. Urk. 1 S. 6, Urk. 19 S. 2 f.). Bei der Festsetzung der IntegritÃ¤tsentschÃ¤digung fÃ¼r die EinschrÃ¤nkung der Ellbogenbeweglichkeit habe die SUVA zu Unrecht nicht die sich aus deren entsprechenden Tabelle ergebende volle Einbusse von 10 % berÃ¼cksichtigt (vgl. Urk. 1 S. 7, Urk. 19 S. 4, Urk. 15/103 S. 4). In Bezug auf die im Rahmen des Einspracheverfahrens beantragte unentgeltliche VerbeistÃ¤ndung sei schliesslich festzuhalten, dass die Beschwerdegegnerin diese insofern in unzulÃ¤ssiger Weise verweigert habe, als sie einerseits bei der Berechnung des Bedarfs die Steuern ausser Acht gelassen und andererseits den errechneten Ãberschuss entgegen der entsprechenden Praxis des Bundesgerichts nicht in Beziehung zu den zu erwartenden Gerichts- und Anwaltskosten gesetzt habe (vgl. Urk. 1 S. 7).</w:t>
      </w:r>
    </w:p>
    <w:p>
      <w:r>
        <w:rPr>
          <w:b/>
        </w:rPr>
        <w:t>E. 3</w:t>
      </w:r>
    </w:p>
    <w:p>
      <w:r>
        <w:t>3.1Â Â Â Â  Betreffend die Ã¼ber den 1. Mai 2005 hinaus andauernde GesundheitsstÃ¶rung beziehungsweise die daraus resultierende BeeintrÃ¤chtigung der ArbeitsfÃ¤higkeit prÃ¤sentiert sich der medizinische Sachverhalt wie folgt:</w:t>
      </w:r>
    </w:p>
    <w:p>
      <w:r>
        <w:t>Â Â Â Â Â Â Â Â  Nachdem sich der BeschwerdefÃ¼hrer vom 9. Dezember 2004 bis 11. Februar 2005 stationÃ¤r in der Rehaklinik E.___ hatte behandeln lassen, stellten die Ãrzte im Austrittsbericht vom 17. Februar 2005 folgende Diagnosen (vgl. Urk. 15/53 S. 1):</w:t>
      </w:r>
    </w:p>
    <w:p>
      <w:r>
        <w:t>Â Â Â Â Â Â Â Â Â Â Â Â Â  -Â Â  Unfall vom 20. November 2002: Beim RÃ¼ckwÃ¤rtstragen vonÂ Â Â Â Â Â Â Â  Â Â Â Â Â Â Â Â Â Â Â Â Â Â Â Â Â</w:t>
      </w:r>
    </w:p>
    <w:p>
      <w:r>
        <w:t>Eternittragen Verletzung rechter Ellbogen an einer GerÃ¼st-Â Â Â Â  Â Â Â Â Â Â Â Â Â Â Â</w:t>
      </w:r>
    </w:p>
    <w:p>
      <w:r>
        <w:t>verankerung (damals kein Arztbesuch)Â  Â Â Â Â Â Â Â Â Â Â Â Â Â Â Â Â Â</w:t>
      </w:r>
    </w:p>
    <w:p>
      <w:r>
        <w:t>-Â Â Â Â Â Â Â  Kontusion rechter EllbogenÂ Â Â Â Â Â Â Â  Â Â Â Â Â Â Â Â Â Â Â Â Â Â Â Â Â</w:t>
      </w:r>
    </w:p>
    <w:p>
      <w:r>
        <w:t>- Â Â Â Â  Sulcus ulnaris-Syndrom rechtsÂ Â Â Â Â Â  Â Â Â Â Â Â Â Â Â Â Â Â Â Â Â Â Â</w:t>
      </w:r>
    </w:p>
    <w:p>
      <w:r>
        <w:t>-Â Â Â Â Â Â Â  Status nach submuskulÃ¤rer VorverlagerungÂ Â Â  Â Â Â Â Â Â Â Â Â Â Â Â Â Â Â Â Â Â Â Â Â Â Â Â Â Â</w:t>
      </w:r>
    </w:p>
    <w:p>
      <w:r>
        <w:t>des Nervus ulnaris rechts am 7. April 2004Â Â  Â Â Â Â Â Â Â Â</w:t>
      </w:r>
    </w:p>
    <w:p>
      <w:r>
        <w:t>Â Â Â Â  - Â Â Â Sulcus ulnaris-Syndrom links (nicht unfallbedingt)Â Â Â  Â Â Â Â Â Â Â Â Â Â Â Â Â Â Â Â Â</w:t>
      </w:r>
    </w:p>
    <w:p>
      <w:r>
        <w:t>-Â Â Â Â Â Â Â  Status nach submuskulÃ¤rer Vorverlagerung Â  Â Â Â Â Â Â Â Â Â Â Â Â Â Â Â Â Â Â Â Â Â Â Â Â Â Â</w:t>
      </w:r>
    </w:p>
    <w:p>
      <w:r>
        <w:t>des Nervus ulnaris links am 2. Juli 2004</w:t>
      </w:r>
    </w:p>
    <w:p>
      <w:r>
        <w:t>Â Â Â Â Â Â Â Â  Aktuell bestÃ¼nden folgende Probleme (vgl. Urk. 15/53 S. 1):</w:t>
      </w:r>
    </w:p>
    <w:p>
      <w:r>
        <w:t>Â Â Â Â Â Â Â Â Â Â -Â Â Â  Â Â  EinschrÃ¤nkungen im Bereich der AktivitÃ¤ten des tÃ¤glichenÂ  Â Â Â Â Â Â Â Â Â Â Â Â Â Â Â Â Â</w:t>
      </w:r>
    </w:p>
    <w:p>
      <w:r>
        <w:t>Lebens (Schuhe binden, NÃ¤gel schneiden an derÂ Â Â Â Â Â Â  Â Â Â Â Â Â Â Â Â</w:t>
      </w:r>
    </w:p>
    <w:p>
      <w:r>
        <w:t>linken Hand, Schwierigkeiten beim Schreiben)Â Â Â Â Â Â Â Â  Â Â Â Â Â Â Â Â</w:t>
      </w:r>
    </w:p>
    <w:p>
      <w:r>
        <w:t>-Â Â Â Â Â Â Â  BelastungsabhÃ¤ngige Schmerzen des rechten EllbogensÂ Â Â Â Â Â  Â Â Â Â Â Â Â Â Â</w:t>
      </w:r>
    </w:p>
    <w:p>
      <w:r>
        <w:t>und des rechten HandgelenksÂ Â Â  Â Â Â Â Â Â Â Â</w:t>
      </w:r>
    </w:p>
    <w:p>
      <w:r>
        <w:t>-Â Â Â Â Â Â Â  SensibilitÃ¤tsstÃ¶rung Dig. IV und V im Hypothenar-Â Â Â  Â Â Â Â Â Â Â Â Â Â Â Â Â Â Â Â Â</w:t>
      </w:r>
    </w:p>
    <w:p>
      <w:r>
        <w:t>bereich, rechts schlechter als linksÂ  Â Â Â Â Â Â Â Â</w:t>
      </w:r>
    </w:p>
    <w:p>
      <w:r>
        <w:t>-Â Â Â Â Â Â Â  Kraftverminderung der rechten oberen ExtremitÃ¤tÂ Â Â Â  Â Â Â Â Â Â Â Â</w:t>
      </w:r>
    </w:p>
    <w:p>
      <w:r>
        <w:t>-Â Â Â Â Â Â Â  Streckdefizit des rechten Ellbogens von ca. 25Â° Â Â Â Â</w:t>
      </w:r>
    </w:p>
    <w:p>
      <w:r>
        <w:t>-Â  SchlafstÃ¶rungÂ Â Â Â Â Â Â</w:t>
      </w:r>
    </w:p>
    <w:p>
      <w:r>
        <w:t>Â Â Â Â Â Â Â Â  Ab dem 14. Februar 2005 sei es dem Patienten wieder zumutbar, ganztags einer leichten Arbeit nachzugehen. Eine EinschrÃ¤nkung bestehe dabei in Bezug auf das Lastenheben ("heben beidhÃ¤ndig selten bis maximal 10 kg"). Ausser Betracht fielen TÃ¤tigkeiten, die auf Leitern oder GerÃ¼sten ausgeÃ¼bt wÃ¼rden, den kraftvollen Einsatz der rechten Hand bedingten oder hohe Anforderungen an die Feinmotorik stellten. Ausgeschlossen seien schliesslich auch Arbeiten, die mit Vibrationen, SchlÃ¤gen auf die rechte Hand oder KÃ¤lteexposition verbunden seien (vgl. Urk. 15/53 S. 1).</w:t>
      </w:r>
    </w:p>
    <w:p>
      <w:r>
        <w:t>3.2Â Â Â Â  Am 13. April 2005 wurde der BeschwerdefÃ¼hrer von SUVA-Kreisarzt Dr. A.___ untersucht. Dieser stellte in seiner Beurteilung eine - durch den Ausfall des Nervus ulnaris bedingte - ausgeprÃ¤gte Gebrauchsminderung der rechten Hand fest. Unfallbedingt bestÃ¼nden folgende GesundheitsstÃ¶rungen (vgl. Urk. 15/65 S. 3):</w:t>
      </w:r>
    </w:p>
    <w:p>
      <w:r>
        <w:t>Â Â Â Â Â Â Â Â Â -Â Â Â Â  Â Â  Ulnarisparese rechtsÂ Â Â Â Â Â Â  Â Â Â Â Â Â Â Â</w:t>
      </w:r>
    </w:p>
    <w:p>
      <w:r>
        <w:t>-Â Â Â Â Â Â Â  Krallenhand rechtsÂ  Â Â Â Â Â Â Â Â</w:t>
      </w:r>
    </w:p>
    <w:p>
      <w:r>
        <w:t>-Â Â Â Â Â Â Â  AusgeprÃ¤gte Atrophie der ulnaris-Â Â Â Â Â Â Â  Â Â Â Â Â Â Â Â  Â Â Â Â</w:t>
      </w:r>
    </w:p>
    <w:p>
      <w:r>
        <w:t>innervierten Handmuskulatur rechtsÂ Â Â Â Â Â Â Â  Â Â Â Â Â Â Â Â</w:t>
      </w:r>
    </w:p>
    <w:p>
      <w:r>
        <w:t>-Â Â Â Â Â Â Â  BewegungseinschrÃ¤nkung imÂ Â Â Â Â  Â Â Â Â Â Â Â Â Â Â Â Â Â Â Â Â Â</w:t>
      </w:r>
    </w:p>
    <w:p>
      <w:r>
        <w:t>Ellbogengelenk rechtsÂ Â Â Â Â Â  Â Â Â Â</w:t>
      </w:r>
    </w:p>
    <w:p>
      <w:r>
        <w:t>-Â  Â  Kraftminderung am Oberarm rechtsÂ Â Â Â</w:t>
      </w:r>
    </w:p>
    <w:p>
      <w:r>
        <w:t>Â Â Â Â Â Â Â Â  Nachstehende TÃ¤tigkeiten seien dem BeschwerdefÃ¼hrer nicht mehr zumutbar:</w:t>
      </w:r>
    </w:p>
    <w:p>
      <w:r>
        <w:t>Â Â Â Â Â Â Â Â Â -Â Â Â Â  Â Â  TÃ¤tigkeiten mit kraftvollem Einsatz der rechten HandÂ Â Â Â Â Â Â Â  Â Â Â Â Â Â Â Â</w:t>
      </w:r>
    </w:p>
    <w:p>
      <w:r>
        <w:t>-Â Â Â Â Â Â Â  TÃ¤tigkeiten mit Anforderung an die Feinmotorik der rechten HandÂ Â Â Â Â Â Â Â  Â Â Â Â Â Â Â Â</w:t>
      </w:r>
    </w:p>
    <w:p>
      <w:r>
        <w:t>-Â Â Â Â Â Â Â  TÃ¤tigkeiten an vibrierenden oder Vibrationen erzeugenden MaschinenÂ Â Â Â Â</w:t>
      </w:r>
    </w:p>
    <w:p>
      <w:r>
        <w:t>-Â Â Â Â Â Â Â  TÃ¤tigkeiten mit repetitivem Heben von LastenÂ Â Â Â  Â Â Â Â Â Â Â Â Â Â Â Â Â Â Â Â Â</w:t>
      </w:r>
    </w:p>
    <w:p>
      <w:r>
        <w:t>bis zu 5 kg mit der rechten Hand Â Â Â Â Â Â Â Â</w:t>
      </w:r>
    </w:p>
    <w:p>
      <w:r>
        <w:t>-Â Â Â Â Â Â Â  TÃ¤tigkeiten auf Leitern und GerÃ¼sten, auf denenÂ  Â Â Â Â Â Â Â Â Â Â Â Â Â Â Â Â</w:t>
      </w:r>
    </w:p>
    <w:p>
      <w:r>
        <w:t>der BeschwerdefÃ¼hrer sich festhalten mÃ¼sse</w:t>
      </w:r>
    </w:p>
    <w:p>
      <w:r>
        <w:t>Â Â Â Â Â Â Â Â  Unter BerÃ¼cksichtigung dieser EinschrÃ¤nkungen bestehe eine 100%ige ArbeitsfÃ¤higkeit (vgl. Urk. 15/65 S. 3).</w:t>
      </w:r>
    </w:p>
    <w:p>
      <w:r>
        <w:t>Â Â Â Â Â Â Â Â  Betreffend die LÃ¤hmung des Nervus ulnaris resultiere aus dem Unfall vom 20. November 2002 gemÃ¤ss der zur Anwendung gelangenden Tabelle 1 der SUVA ein IntegritÃ¤tsschaden in der HÃ¶he von 15 %. Der bezÃ¼glich der Beweglichkeit des Ellbogengelenks bei einem Ausmass von 0Â°-30Â°-90Â° geltende Tabellenwert von 10 % sei aufgrund der beim BeschwerdefÃ¼hrer bestehenden geringeren BeweglichkeitseinschrÃ¤nkung auf 5 % zu reduzieren. Insgesamt sei daher von einer IntegritÃ¤tseinbusse im Umfang von 20 % auszugehen (vgl. Urk. 15/66).</w:t>
      </w:r>
    </w:p>
    <w:p>
      <w:r>
        <w:t>3.3Â Â Â Â  Die im Rahmen der neurologischen Verlaufskontrolle vom 31. August 2005 durchgefÃ¼hrte elektroneuro- beziehungsweise elektromyographische Untersuchung betreffend den Nervus ulnaris ergab beidseitig eine wesentliche Verbesserung im Vergleich zur Voruntersuchung vom 19. Januar 2005. Klinisch sei der Patient durch die vorhandenen Defizite allerdings weiterhin stark behindert. So seien diesem insbesondere das Hantieren mit Werkzeugen und das Bedienen von Maschinen nicht mehr mÃ¶glich (vgl. Bericht Dr. med. B.___, FachÃ¤rztin FMH fÃ¼r Neurologie, vom 5. September 2005 [Urk. 15/88]).</w:t>
      </w:r>
    </w:p>
    <w:p>
      <w:r>
        <w:t>3.4Â Â Â Â  Dr. med. C.___, Facharzt FMH fÃ¼r Allgemeine Medizin, hielt in seinem Schreiben vom 21. MÃ¤rz 2006 (Urk. 3/5) fest, beim Patienten bestehe eine rechtsbetonte FunktionsstÃ¶rung beider HÃ¤nde, was sich sowohl auf die Feinmotorik als auch insbesondere auf die Kraft auswirke. Im Weiteren seien beide Ellbogengelenke stark eingeschrÃ¤nkt und zeitweise schmerzhaft. Aufgrund dieser BeeintrÃ¤chtigungen bestehe in Bezug auf sÃ¤mtliche schwere Arbeiten mit den HÃ¤nden (Fassadenbau, Baugewerbe, sÃ¤mtliche grobhandwerklichen TÃ¤tigkeiten) eine ArbeitsunfÃ¤higkeit. Unter BerÃ¼cksichtigung der feinmotorischen EinschrÃ¤nkungen verbleibe dem BeschwerdefÃ¼hrer noch ein schmaler Einsatzbereich (leichtere Montagearbeiten). Zumutbaren seien ihm zudem TÃ¤tigkeiten, die vorwiegend den Einsatz der unteren ExtremitÃ¤ten erforderten (BotengÃ¤nge, Ãberwachungsdienst in KaufhÃ¤usern etc.). Es sei im Ãbrigen auf die ArbeitsfÃ¤higkeitsbeurteilung der Ãrzte der Rehaklinik E.___ zu verweisen.</w:t>
      </w:r>
    </w:p>
    <w:p>
      <w:r>
        <w:rPr>
          <w:b/>
        </w:rPr>
        <w:t>E. 4</w:t>
      </w:r>
    </w:p>
    <w:p>
      <w:r>
        <w:t>4.1Â Â Â Â  Festzuhalten ist vorab, dass das erstmals im Rahmen der Replik gemachte Vorbringen des BeschwerdefÃ¼hrers, der Unfall vom 20. November 2002 sei auch fÃ¼r das linksseitige Sulcus ulnaris-Syndrom ursÃ¤chlich (vgl. Urk. 19 S. 2), jeglicher Grundlage in den medizinischen Akten entbehrt (vgl. Urk. 15/53 S. 1, Urk. 15/65). Da die fragliche Behauptung sich auch mit den in der Unfall- und Berufskrankheitsmeldung UVG (Urk. 15/1) gemachten Angaben nicht vereinbaren lÃ¤sst, gemÃ¤ss denen der Unfall einzig den rechten Ellbogen betraf, erÃ¼brigen sich weitere diesbezÃ¼gliche ErÃ¶rterungen.</w:t>
      </w:r>
    </w:p>
    <w:p>
      <w:r>
        <w:t>4.2Â Â Â Â  Aufgrund der zitierten Arztberichte steht fest, dass der BeschwerdefÃ¼hrer in einer leidensangepassten TÃ¤tigkeit spÃ¤testens ab dem 1. Mai 2005 wieder zu 100 % arbeitsfÃ¤hig war (vgl. Austrittsbericht Rehaklinik E.___ vom 17. Februar 2005 [Urk. 15/53 S. 1], Bericht SUVA-Kreisarzt Dr. A.___ vom 13. April 2005 [Urk. 15/65 S. 3], Bericht Dr. B.___ vom 5. September 2005 [Urk. 15/88 S. 2].</w:t>
      </w:r>
    </w:p>
    <w:p>
      <w:r>
        <w:t>4.3Â Â Â Â  Was die unfallbedingten EinschrÃ¤nkungen betrifft, ist aufgrund der im Wesentlichen Ã¼bereinstimmenden medizinischen Beurteilungen davon auszugehen, dass mit Vibrationen einhergehende und auf Leitern oder GerÃ¼sten auszuÃ¼bende TÃ¤tigkeiten ausser Betracht fallen und der BeschwerdefÃ¼hrer mit der rechten Hand keinen kraftvollen Einsatz mehr leisten kann (vgl. Austrittsbericht Rehaklinik E.___ vom 17. Februar 2005 [Urk. 15/53 S. 1], Bericht SUVA-Kreisarzt Dr. A.___ vom 13. April 2005 [Urk. 15/65 S. 3]). In Bezug auf das Heben von Lasten divergieren die Ã¤rztlichen EinschÃ¤tzungen insofern, als dieses gemÃ¤ss Austrittsbericht der Rehaklinik E.___ noch selten, beidhÃ¤ndig und bei Beachtung eines maximalen Gewichtes von 10 kg zumutbar ist (vgl. Urk. 15/53 S. 1), Kreisarzt Dr. D.___ dagegen von einer rechtsseitigen Gewichtslimite von 5 kg ausging und repetitives Heben fÃ¼r unzumutbar hielt (vgl. Urk. 15/65 S. 3). Die Zumutbarkeitsbeurteilungen weichen zudem in dem Sinne voneinander ab, dass gemÃ¤ss der EinschÃ¤tzung der Ãrzte der Rehaklinik E.___ TÃ¤tigkeiten "mit hohen Anforderungen" und gemÃ¤ss derjenigen von Kreisarzt Dr. A.___ Arbeiten "mit Anforderungen" an die Feinmotorik der rechten Hand ausgeschlossen sind (vgl. Urk. 15/53 S. 1, Urk. 15/65 S. 3).</w:t>
      </w:r>
    </w:p>
    <w:p>
      <w:r>
        <w:t>4.4Â Â Â Â  Betreffend das Heben von Lasten stehen die Ã¤rztlichen Beurteilungen nur scheinbar im Widerspruch zu einander. So bezieht sich die gemÃ¤ss Dr. A.___ geltende Gewichtslimite von 5 kg ausschliesslich auf die rechte Hand, das im Austrittsbericht der Rehaklinik E.___ vom 17. Februar 2005 angefÃ¼hrte Maximalgewicht von 10 kg dagegen auf das Heben unter Einsatz beider HÃ¤nde (wobei dabei auch die linksseitig bestehenden, unfallfremden und damit vorliegend nicht relevanten EinschrÃ¤nkungen einbezogen worden sein dÃ¼rften). Die DAP, auf welche die SUVA sich bei der Ermittlung des InvaliditÃ¤tsgrades stÃ¼tzte, berÃ¼cksichtigen allerdings ohnehin durchwegs ein maximales Lastgewicht von 5 kg (vgl. Urk. 15/90 S. 2, S. 4, S. 6, S. 8, S. 10).</w:t>
      </w:r>
    </w:p>
    <w:p>
      <w:r>
        <w:t>Â Â Â Â Â Â Â Â  Zwar wurde im Austrittsbericht der Rehaklinik E.___ festgehalten, dass das Lastenheben - unter BerÃ¼cksichtigung einer Gewichtslimite von 10 kg - nur selten und ausschliesslich beidhÃ¤ndig zumutbar sei (vgl. Urk. 15/53 S. 1). Diese Beurteilung stÃ¼tzt sich auf den Bericht der nÃ¤mlichen Klinik betreffend berufliche AbklÃ¤rung vom 17. Februar 2005 (Urk. 15/52). In diesem wurde klar zum Ausdruck gebracht, dass das Heben lediglich beidhÃ¤ndig zumutbar sei, wobei die fragliche TÃ¤tigkeit - sofern sie schwerere Lasten bis 10 kg betreffe - nur selten ausgeÃ¼bt werden solle. E contrario ist also davon auszugehen, dass dem BeschwerdefÃ¼hrer betreffend leichte Lasten auch hÃ¤ufigeres Heben zugemutet wurde. Auf diese - im Austrittsbericht (Urk. 15/53) in der Folge offensichtlich hinsichtlich der Frage der HÃ¤ufigkeit des Hebens beziehungsweise des dabei zu beachtenden Maximalgewichts nicht ganz korrekt wiedergegebene - EinschÃ¤tzung der Ãrzte der Rehaklinik E.___ ist abzustellen. Sie ist im Ãbrigen auch vereinbar mit der Beurteilung von Dr. A.___, der - zusÃ¤tzlich zur angegebenen Gewichtslimite von 5 kg rechtsseitig - insofern eine EinschrÃ¤nkung anbrachte, als er repetitives Heben ausschloss (vgl. Urk. 15/65 S. 3). Dieser kreisÃ¤rztliche Vorbehalt beschlÃ¤gt allerdings nicht die HÃ¤ufigkeit der genannten TÃ¤tigkeit (vgl. Urk. 1 S. 5), sondern bringt vielmehr zum Ausdruck, dass sich stÃ¤ndig wiederholende gleichartige Hebebewegungen ungÃ¼nstig sind.</w:t>
      </w:r>
    </w:p>
    <w:p>
      <w:r>
        <w:t>Â Â Â Â Â Â Â Â  Die von der SUVA berÃ¼cksichtigten fÃ¼nf DAP-Profile erfÃ¼llen die genannten Anforderungen an eine fÃ¼r den BeschwerdefÃ¼hrer geeignete TÃ¤tigkeit. Zwar ist bei DAP-Nrn. 1099 und 3389 das Heben und Tragen sehr leichter (bis 5 kg wiegender) Lasten oft (vgl. Urk. 15/90 S. 2, S. 8) und bei DAP-Nr. 3384 (vgl. Urk. 15/90 S. 6) gar sehr oft erforderlich. Dies steht indes - entgegen den AusfÃ¼hrungen des BeschwerdefÃ¼hrers (vgl. Urk. 1 S. 5 f., Urk. 19 S. 2 f.) - den aktenkundigen Zumutbarkeitsbeurteilungen nicht entgegen. So betrifft die von den Ãrzten der Rehaklinik E.___ gemachte EinschrÃ¤nkung betreffend die Kadenz des Hebens - wie bereits dargelegt - lediglich schwere Lasten bis 10 kg, wÃ¤hrend es bei allen drei erwÃ¤hnten DAP-Nummern nur um geringe Lasten von maximal 5 kg geht.</w:t>
      </w:r>
    </w:p>
    <w:p>
      <w:r>
        <w:t>4.5Â Â Â Â  Was die feinmotorischen FÃ¤higkeiten betrifft, sind solche einzig bei DAP- Nr. 1860 (Urk. 15/90 S. 4) - und dies zudem nur selten - erforderlich, was ohne weiteres vereinbar ist mit der Beurteilung der Ãrzte der Rehaklinik E.___ (vgl. Urk. 15/53 S. 1). Diese stÃ¼tzt sich auf eine eingehende vierwÃ¶chige berufliche AbklÃ¤rung (vgl. Urk. 15/52 S. 1) und schliesst lediglich TÃ¤tigkeiten mit hoher Anforderung an die Feinmotorik aus (vgl. Urk. 15/53 S. 1, Urk. 15/52 S. 2). Die EinschÃ¤tzung von Dr. A.___, die auf weit weniger umfassenden Untersuchungen beruht, vermag die Zumutbarkeitsbeurteilung der Ãrzte der Rehaklinik nicht in Frage zu stellen. Unklar ist ohnehin, ob Dr. A.___, indem er - ohne dies konkret zu begrÃ¼nden - festhielt, dass "TÃ¤tigkeiten mit Anforderung an die Feinmotorik der rechten Hand" ausser Betracht fielen (vgl. Urk. 15/65 S. 3), tatsÃ¤chlich eine weiter gehende EinschrÃ¤nkung annahm, als dies die Ãrzte der Rehaklinik E.___ taten. So ist auch dem Bericht von Dr. C.___ vom 21. MÃ¤rz 2006 (Urk. 3/5) zu entnehmen, dass der BeschwerdefÃ¼hrer nach wie vor Ã¼ber gewisse motorische FÃ¤higkeiten verfÃ¼gt; so wÃ¤re dieser gemÃ¤ss dem genanten Arzt immerhin noch in der Lage, leichtere Montagearbeiten auszufÃ¼hren. Anzumerken ist zudem, dass es - wenn auch weiterhin erhebliche Defizite bestehen - gemÃ¤ss der Neurologin Dr. B.___, die am 31. August 2005 eine Verlaufskontrolle durchfÃ¼hrte, in Bezug auf den Zustand der rechten Hand seit der Berichterstattung sowohl der Ãrzte der Rehaklinik E.___ am 17. Februar 2005 (vgl. Urk. 15/53) als auch von Dr. A.___ am 13. April 2005 (vgl. Urk. 15/65) zu einer wesentlichen Besserung gekommen ist (vgl. Urk. 15/88). Angesichts dieser Tatsache, der Beurteilung von Dr. C.___ (Urk. 3/5) und des Umstandes, dass die grÃ¼ndlichen AbklÃ¤rungen der noch bestehenden beruflichen MÃ¶glichkeiten durch die Ãrzte der Rehaklinik E.___ Gegenteiliges ergaben (vgl. Urk. 15/53), vermag die - sich im Ãbrigen auch auf die unfallfremden und vorliegend demnach irrelevanten Handbeschwerden beziehende - Aussage von Dr. B.___, gemÃ¤ss der jegliches Hantieren mit Werkzeugen ausgeschlossen ist (vgl. Bericht vom 5. September 2005, Urk. 15/88), nicht zu Ã¼berzeugen.</w:t>
      </w:r>
    </w:p>
    <w:p>
      <w:r>
        <w:t>4.6Â Â Â Â  Nach dem Gesagten ergibt sich, dass die von der SUVA ausgewÃ¤hlten DAP (Urk. 15/90) mit den dem BeschwerdefÃ¼hrer verbleibenden unfallkausalen EinschrÃ¤nkungen vereinbar sind. Die Beschwerdegegnerin ermittelte aufgrund der berÃ¼cksichtigten DAP-Lohnangaben (vgl. Urk. 15/90) zutreffenderweise ein hypothetisches Invalideneinkommen von rund Fr. 48'500.-- fÃ¼r das Jahr 2005 (vgl. Urk. 15/89 S. 2). Dabei stellte sie auf fÃ¼nf zumutbare ArbeitsplÃ¤tze (DAP-Nrn. 1099, 1860, 3384, 3389 und 6408) ab, gab die Gesamtzahl der in Anbetracht der Behinderung des BeschwerdefÃ¼hrers in Frage kommenden ArbeitsplÃ¤tze, deren HÃ¶chst- und Tiefstlohn sowie den Durchschnittslohn der dem Behinderungsprofil entsprechenden Gruppe an. Damit sind vorliegend sÃ¤mtliche Voraussetzungen, die das damalige EidgenÃ¶ssische Versicherungsgericht an einen Einkommensvergleich gestÃ¼tzt auf die DAP-Tabellen stellt (vgl. BGE 129 V 472), erfÃ¼llt. Das Valideneinkommen bezifferte die SUVA aufgrund der Angaben der frÃ¼heren Arbeitgeberin des BeschwerdefÃ¼hrers fÃ¼r das Jahr 2005 mit Fr. 64'025.-- (vgl. Urk. 15/89 S. 2, Urk. 15/61). Da die Ermittlung des Invalideneinkommens gestÃ¼tzt auf DAP-Profile, die - wie dargelegt - den spezifischen unfallkausalen BeeintrÃ¤chtigungen des BeschwerdefÃ¼hrers angemessen Rechnung tragen, und nicht auf TabellenlÃ¶hne gemÃ¤ss der vom Bundesamt fÃ¼r Statistik herausgegebenen Schweizerischen Lohnstrukturerhebung (LSE) erfolgte, bleibt kein Raum fÃ¼r einen leidensbedingten Abzug; etwas Gegenteiliges geht auch aus den vom BeschwerdefÃ¼hrer in diesem Zusammenhang zitierten BGE 126 V 75 und 129 V 472 (vgl. Urk. 1 S. 6, Urk. 19 S. 3) nicht hervor. Aus dem Vergleich von Validen- und Invalideneinkommen ermittelte die SUVA eine Erwerbseinbusse von rund 24 % (vgl. Urk. 15/89 S. 2). Dieses Vorgehen ist nicht zu beanstanden.</w:t>
      </w:r>
    </w:p>
    <w:p>
      <w:r>
        <w:rPr>
          <w:b/>
        </w:rPr>
        <w:t>E. 5</w:t>
      </w:r>
    </w:p>
    <w:p>
      <w:r>
        <w:t>5.1Â Â Â Â  Zu prÃ¼fen bleibt die HÃ¶he der von der SUVA zugesprochenen IntegritÃ¤tsentschÃ¤digung.</w:t>
      </w:r>
    </w:p>
    <w:p>
      <w:r>
        <w:t>Â Â Â Â Â Â Â Â  Der BeschwerdefÃ¼hrer leidet unfallbedingt unter einer LÃ¤hmung des Nervus ulnaris rechts und einer BewegungseinschrÃ¤nkung im rechten Ellbogengelenk (vgl. Urk. 15/65, Urk. 15/53 S. 1). Die SUVA stÃ¼tzte sich bei der Festsetzung der IntegritÃ¤tsentschÃ¤digung auf die Beurteilung von Kreisarzt Dr. A.___ vom 13. April 2005 (Urk. 15/66), der betreffend den Nervus ulnaris von einer - sich aus SUVA-Tabelle 1.2 ergebenden - IntegritÃ¤tseinbusse von 15 % ausging. Dies wurde vom BeschwerdefÃ¼hrer zu Recht nicht beanstandet.</w:t>
      </w:r>
    </w:p>
    <w:p>
      <w:r>
        <w:t>5.2Â Â Â Â  In Bezug auf die reduzierte Beweglichkeit des rechten Ellbogengelenks bezifferte Dr. A.___ den IntegritÃ¤tsschaden mit 5 %, wobei er den gemÃ¤ss SUVA-Tabelle 1.2 bei einer Ellbogenbeweglichkeit von 0Â°-30Â°-90Â° geltenden Wert von 10 % - unter Hinweis darauf, dass die BeweglichkeitseinschrÃ¤nkung beim BeschwerdefÃ¼hrer geringer sei - um die HÃ¤lfte herabsetzte (vgl. Urk. 15/66). Die kreisÃ¤rztliche Abschlussuntersuchung des rechten Ellbogengelenks ergab einen Bewegungsumfang Streckung/Beugung von 30Â°-30Â°-130Â° (vgl. Urk. 15/65 S. 1 f.). Dass bezÃ¼glich der rechtsseitigen Ellbogenbeweglichkeit noch eine Verschlechterung zu erwarten wÃ¤re (vgl. Urk. 1 S. 7, Urk. 15/103 S. 4), ist mangels eines entsprechenden Hinweises in den medizinischen Akten nicht anzunehmen. Zumindest hinsichtlich der Handbeschwerden deutet der Bericht von Dr. B.___ vom 5. September 2005 (Urk. 15/88) im Ãbrigen gar eher auf eine allmÃ¤hliche Besserung hin. Eine verbleibende Ellbogengelenksbeweglichkeit von 0Â°-30Â°-90Â° bedeutet gemÃ¤ss SUVA-Tabelle 1.2 eine IntegritÃ¤tseinbusse von 10 %. Dabei wird davon ausgegangen, dass der Versicherte den Arm noch voll strecken, aber nur noch bis zu einem maximalen Winkel von 90Â° beugen kann. Beim BeschwerdefÃ¼hrer ist die Situation insofern anders, als sich dessen Arm noch um 45Â° weiter bis zu einem Winkel von 135Â° beugen lÃ¤sst, bei maximaler Streckung allerdings einen Winkel von 30Â° (respektive 25Â° [vgl. Austrittsbericht Rehaklinik E.___ vom 17. Februar 2005, Urk. 15/53 S. 1]) statt von 0Â° aufweist (zur Illustration vgl. Mollowitz, Der Unfallmann, 12. Aufl., Berlin 1998, S. 286). Da sich bei alltÃ¤glichen Verrichtungen (beispielweise beim Hochheben von GegenstÃ¤nden oder beim Ankleiden) eine mÃ¶glichst uneingeschrÃ¤nkte Flexion als weit wichtiger erweist als eine volle Streckbarkeit des Ellbogengelenks und damit des Armes, beim BeschwerdefÃ¼hrer betreffend die Beugung aber lediglich ein Defizit von 20Â° (130Â° bei einem mÃ¶glichen Maximalwert von 150Â° [vgl. Mollowitz, a.a.O., S. 286]) besteht, in SUVA-Tabelle 1.2 mit einem hÃ¶chstens noch erreichbaren rechten Winkel dagegen von einer eindeutig massiveren EinschrÃ¤nkung ausgegangen wird, erscheint die KÃ¼rzung der IntegritÃ¤tsentschÃ¤digung betreffend den rechten Ellbogen um 50 % als angemessen.</w:t>
      </w:r>
    </w:p>
    <w:p>
      <w:r>
        <w:t>6.Â Â Â Â Â Â  Dass die SUVA das Gesuch um unentgeltliche RechtsverbeistÃ¤ndung - wie in der Folge auch das hiesige Gericht betreffend das vorliegende Verfahren (vgl. Urk. 17) - abgewiesen hat, ist nicht zu beanstanden. Wie in der VerfÃ¼gung vom 17. April 2007 (Urk. 17) eingehend erÃ¶rtert, ist die BedÃ¼rftigkeit des BeschwerdefÃ¼hrers nÃ¤mlich nicht ausgewiesen. DafÃ¼r, dass es in der zwischen dem Einsprache- und dem vorliegenden Verfahren liegenden Zeit zu einer wesentlichen Ãnderung der finanziellen Situation gekommen wÃ¤re, gibt es keine Anhaltspunkte, und es wurde vom BeschwerdefÃ¼hrer auch nicht geltend gemacht.</w:t>
      </w:r>
    </w:p>
    <w:p>
      <w:r>
        <w:t>7.Â Â Â Â Â Â  Zusammenfassend ergibt sich, dass sich der Einspracheentscheid der SUVA vom 20. September 2006 (Urk. 2) in allen Teilen als rechtens erweist.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Massimo Aliotta</w:t>
      </w:r>
    </w:p>
    <w:p>
      <w:r>
        <w:t>- Rechtsanwalt Christian Leupi</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