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UV.2006.00285 vom 4. Januar 2007</w:t>
      </w:r>
    </w:p>
    <w:p>
      <w:r>
        <w:t>ZH Sozialversicherungsgericht, 2007-01-04, DE</w:t>
      </w:r>
    </w:p>
    <w:p>
      <w:r>
        <w:rPr>
          <w:b/>
        </w:rPr>
        <w:t xml:space="preserve">Quelle: </w:t>
      </w:r>
      <w:r>
        <w:t>https://mcp.opencaselaw.ch/entscheid/zh_sozialversicherungsgericht_UV.2006.00285</w:t>
      </w:r>
    </w:p>
    <w:p>
      <w:r>
        <w:t>FR: ZH_SOZIALVERSICHERUNGSGERICHT UV.2006.00285 du 4 janvier 2007</w:t>
      </w:r>
    </w:p>
    <w:p>
      <w:r>
        <w:t>IT: ZH_SOZIALVERSICHERUNGSGERICHT UV.2006.00285 del 4 gennaio 2007</w:t>
      </w:r>
    </w:p>
    <w:p>
      <w:pPr>
        <w:pStyle w:val="Heading2"/>
      </w:pPr>
      <w:r>
        <w:t>Erwägungen</w:t>
      </w:r>
    </w:p>
    <w:p>
      <w:r>
        <w:rPr>
          <w:b/>
        </w:rPr>
        <w:t>E. 1</w:t>
      </w:r>
    </w:p>
    <w:p>
      <w:r>
        <w:t>1.1Â Â Â Â  Nach Art. 56 Abs. 2 des Bundesgesetzes Ã¼ber den Allgemeinen Teil des Sozialversicherungsrechts (ATSG) in Verbindung mit Art. 1 Abs. 1 des Bundesgesetzes Ã¼ber die Unfallversicherung (UVG) kann Beschwerde erhoben werden, wenn der VersicherungstrÃ¤ger entgegen dem Begehren der betroffenen Person keine VerfÃ¼gung oder keinen Einspracheentscheid erlÃ¤sst. Hierbei handelt es sich um eine Beschwerde wegen Rechtsverweigerung oder -verzÃ¶gerung.</w:t>
      </w:r>
    </w:p>
    <w:p>
      <w:r>
        <w:t>1.2Â Â Â Â  Nach der zur Rechtslage vor Inkrafttreten des ATSG ergangenen Rechtsprechung des EidgenÃ¶ssischen Versicherungsgerichts bilden die materiellen Rechte und Pflichten bei Rechtsverweigerungs- oder RechtsverzÃ¶gerungsbeschwerden nicht Streitgegenstand (vgl. RKUV 2000 Nr. KV 131 S. 245 Erw. 2). BegrÃ¼ndet wurde diese Praxis mit dem Grundsatz, dass die Gutheissung einer Rechtsverweigerungs- oder RechtsverzÃ¶gerungsbeschwerde zur RÃ¼ckweisung der Sache an die untÃ¤tige Vorinstanz fÃ¼hrt, und damit, dass es nicht Sache des kantonalen Gerichts ist, in einem Rechtsverweigerungs- oder RechtsverzÃ¶gerungsprozess erstmals materiell zu entscheiden und den rechtserheblichen Sachverhalt zu ermitteln (RKUV 2000 Nr. KV 131 S. 246 Erw. 2d). An dieser Rechtsprechung wird auch unter der Geltung des ATSG festgehalten (Urteile des EidgenÃ¶ssischen Versicherungsgerichts in Sachen K. vom 23. Oktober 2003, I 328/03, und in Sachen F. vom 3. Dezember 2003, I 499/03 mit Hinweisen; vgl. auch Kieser, ATSG-Kommentar, ZÃ¼rich 2003, N 12 zu Art. 56 ATSG, S. 561).</w:t>
      </w:r>
    </w:p>
    <w:p>
      <w:r>
        <w:t>1.3Â Â Â Â  Handelt eine Instanz nicht gesetzeskonform, obschon entsprechende Regelungen bestehen, begeht sie gemÃ¤ss bundesgerichtlicher Praxis eine formelle Rechtsverweigerung (BGE 117 Ia 116 S. 118, BGE 113 Ia 430 f. Erw. 3; BGE 107 Ib 164 Erw. 3b).</w:t>
      </w:r>
    </w:p>
    <w:p>
      <w:r>
        <w:t>1.4Â Â Â Â  Seit Inkrafttreten des ATSG ist Ã¼ber Leistungen, Forderungen und Anordnungen, die erheblich sind oder mit denen die betroffene Person nicht einverstanden ist, durch den VersicherungstrÃ¤ger allgemein eine schriftliche VerfÃ¼gung zu erlassen (Art. 49 Abs. 1 ATSG). Die VerfÃ¼gungen werden mit einer Rechtsmittelbelehrung versehen (Art. 49 Abs. 3 ATSG). Sie sind zu begrÃ¼nden, wenn sie den Begehren der Parteien nicht voll entsprechen. Aus einer mangelhaften ErÃ¶ffnung einer VerfÃ¼gung darf der betroffenen Partei kein Nachteil erwachsen.</w:t>
      </w:r>
    </w:p>
    <w:p>
      <w:r>
        <w:t>1.5Â Â Â Â  GemÃ¤ss der Verordnung Ã¼ber die Unfallversicherung (UVV), welche bereits vor Inkrafttreten des ATSG GÃ¼ltigkeit hatte, ist eine schriftliche VerfÃ¼gung insbesondere zu erlassen Ã¼ber:</w:t>
      </w:r>
    </w:p>
    <w:p>
      <w:r>
        <w:t>a.Â Â Â Â Â Â  die Zusprechung von Invalidenrenten, Abfindungen, IntegritÃ¤tsentschÃ¤digungen, HilflosenentschÃ¤digungen, Hinterlassenenrenten und Witwenabfindungen sowie die Revision von Renten und HilflosenentschÃ¤digungen;</w:t>
      </w:r>
    </w:p>
    <w:p>
      <w:r>
        <w:t>b.Â Â Â Â Â Â  die KÃ¼rzung oder Verweigerung von Versicherungsleistungen;</w:t>
      </w:r>
    </w:p>
    <w:p>
      <w:r>
        <w:t>c.Â Â Â Â Â Â  die RÃ¼ckforderung von Versicherungsleistungen;</w:t>
      </w:r>
    </w:p>
    <w:p>
      <w:r>
        <w:t>d.Â Â Â Â Â Â  die erstmalige Einreihung eines Betriebes in die Klassen und Stufen der PrÃ¤mientarife sowie die Ãnderung der Einreihung;</w:t>
      </w:r>
    </w:p>
    <w:p>
      <w:r>
        <w:t>e.Â Â Â Â Â Â  die Einforderung von ErsatzprÃ¤mien und die Zuweisung eines Arbeitgebers an einen Versicherer durch die Ersatzkasse;</w:t>
      </w:r>
    </w:p>
    <w:p>
      <w:r>
        <w:t>f.Â Â Â Â Â Â  die Festsetzung der PrÃ¤mien, wenn der Arbeitgeber die erforderlichen Angaben nicht gemacht hat.</w:t>
      </w:r>
    </w:p>
    <w:p>
      <w:r>
        <w:t>1.6Â Â Â Â  Leistungen, Forderungen und Anordnungen, die nicht unter Art. 49 Abs. 1 ATSG fallen, kÃ¶nnen in einem formlosen Verfahren behandelt werden (Art. 51 Abs. 1 ATSG). Die betroffene Person kann den Erlass einer VerfÃ¼gung verlangen (Art. 51 Abs. 2 ATSG).</w:t>
      </w:r>
    </w:p>
    <w:p>
      <w:r>
        <w:t>1.7Â Â Â Â  Das EidgenÃ¶ssische Versicherungsgericht (EVG) hat im zur Publikation vorgesehenen Urteil vom 7. September 2006 in Sachen G. (U 62/06) mit Hinweis auf BGE 104 V 166 Erw. 3 festgehalten, dass ein Versicherter, der feststelle, dass die zu Unrecht nicht in VerfÃ¼gungsform Ã¼ber den geltend gemachten Anspruch befunden worden sei, nicht jederzeit den nachtrÃ¤glichen Erlass eines solchen anfechtbaren Verwaltungsaktes verlangen kÃ¶nne, um ihn dann beschwerdeweise an den Richter weiterzuziehen. Dies habe vielmehr innerhalb einer zeitlichen Befristung zu geschehen, die nach den konkreten UmstÃ¤nden als vernÃ¼nftig erscheine und gleichzeitig den Prinzipien des Vertrauensschutzes und der Rechtssicherheit Rechnung trage. In BGE 104 V 166 sei man zum Schluss gekommen, dass es gegen Treu und Glauben verstosse, wenn ein neu bestellter Vormund Ã¼ber die fast fÃ¼nf Jahre hinweg mit Wissen der VormundschaftsbehÃ¶rde vereinbarte KÃ¼rzung von Krankentaggeldern eine beschwerdefÃ¤hige VerfÃ¼gung verlange.</w:t>
      </w:r>
    </w:p>
    <w:p>
      <w:r>
        <w:t>Â Â Â Â Â Â Â Â  Dieser Fall sei jedoch mit dem VerfÃ¼gungserlass in Unfallversicherungssachen nicht vergleichbar. Wenn eine versicherte Person sich auf das ihr durch Art. 49 Abs. 3 ATSG eingerÃ¤umte Recht berufend die Unfallversicherung auffordere, eine in der vorgeschriebenen Form ausgefertigte VerfÃ¼gung zu erlassen, um dann ihren Anspruch in dem gesetzlich vorgesehenen Fall Ã¼berprÃ¼fen lassen zu kÃ¶nnen, bewege sie sich gÃ¤nzlich in dem von Art. 9 der Bundesverfassung (BV) abgedeckten Schutzbereich des Grundsatzes von Treu und Glauben. Auch sei nicht ersichtlich, welche Interessen eine versicherte Person dabei zu verwirklichen versucht sein kÃ¶nnte, welche dieses Rechtsinstitut nicht schÃ¼tzen wolle (Urteil des EVG vom 7. September 2006 in Sachen G., U 62/06, Erw. 6).</w:t>
      </w:r>
    </w:p>
    <w:p>
      <w:r>
        <w:rPr>
          <w:b/>
        </w:rPr>
        <w:t>E. 2</w:t>
      </w:r>
    </w:p>
    <w:p>
      <w:r>
        <w:t>2.1Â Â Â Â  Strittig ist, ob die Beschwerdegegnerin die Leistungsverweigerung in einer formellen VerfÃ¼gung hÃ¤tte erÃ¶ffnen mÃ¼ssen.</w:t>
      </w:r>
    </w:p>
    <w:p>
      <w:r>
        <w:t>2.2Â Â Â Â  Die BeschwerdefÃ¼hrer bemÃ¤ngeln, dass die Beschwerdegegnerin bei fehlendem EinverstÃ¤ndnis der versicherten Personen eine schriftliche VerfÃ¼gung zu erlassen habe. Die Hinterlassenen hÃ¤tten ausdrÃ¼cklich um Leistungen ersucht und die AnsprÃ¼che mit Ã¤rztlichen Gutachten belegt. Das nicht einmal eingeschrieben zugestellte Schreiben der Beschwerdegegnerin vom 8. Mai 2002, womit Hinterlassenenleistungen abgelehnt worden seien, sei als gewÃ¶hnliche Mitteilung zu qualifizieren, dem zwingend eine VerfÃ¼gung hÃ¤tte folgen mÃ¼ssen, um Ã¼ber die AnsprÃ¼che rechtswirksam zu befinden (Urk. 1 S. 6 unten f.). Die herangezogenen Entscheide wÃ¼rden sich ausschliesslich auf den Bereich der Arbeitslosenversicherung beziehen, wo indessen die VerfÃ¼gungsform nicht fÃ¼r alle Entscheide ausdrÃ¼cklich vorgesehen sei (Urk. 1 S. 8 unten).</w:t>
      </w:r>
    </w:p>
    <w:p>
      <w:r>
        <w:t>2.3Â Â Â Â  DemgegenÃ¼ber stellt sich die Beschwerdegegnerin auf den Standpunkt, dass mit Schreiben vom 8. Mai 2002 mitgeteilt worden sei, dass der Suizid nicht mit Ã¼berwiegender Wahrscheinlichkeit auf das Unfallereignis aus dem Jahre 1994 zurÃ¼ckzufÃ¼hren sie, weshalb ein Leistungsanspruch abgelehnt werden mÃ¼sse (Urk. 7 S. 3 unten). Darauf sei erstmals nach mehr als drei Jahren seitens der BeschwerdefÃ¼hrer reagiert worden (Urk. 7 S. 4 oben). Einem Schreiben eines VersicherungstrÃ¤gers, mit welchem Leistungen eingestellt oder abgelehnt wÃ¼rden, komme materiell VerfÃ¼gungscharakter zu, auch wenn es weder als VerfÃ¼gung gekennzeichnet sie noch eine Rechtsmittelbelehrung enthalte, weil damit hoheitlich Ã¼ber den Anspruch befunden werde (Urk. 7 S. 5 unten f.).</w:t>
      </w:r>
    </w:p>
    <w:p>
      <w:r>
        <w:t>Â Â Â Â Â Â Â Â  Die RechtsbestÃ¤ndigkeit einer derartigen faktischen VerfÃ¼gung trete ein, sobald anzunehmen sie, dass sich die betroffenen Personen mit der Regelung abgefunden hÃ¤tten. Dies sei dann der Fall, wenn die nach den UmstÃ¤nden zu bemessende Ãberlegungs- und PrÃ¼fungsfrist abgelaufen sei. In der Regel sei ein formloser Verwaltungsakt innert 90 Tagen anzufechten, in EinzelfÃ¤llen kÃ¶nnten auch lÃ¤ngere Ãberlegungs- und PrÃ¼fungsfristen bei nicht rechtskundigen Personen als zulÃ¤ssig erachtet werden (Urk. 7 S. 6 Mitte und unten). Sofern die BeschwerdefÃ¼hrer derart gegen die Ablehnung gewesen seien, kÃ¶nne nicht nachvollzogen werden, weshalb sie mehr als drei Jahre zugewartet hÃ¤tten, um dieses fehlende EinverstÃ¤ndnis kundzutun (Urk. 7 S. 9 Mitte). Unter diesen Voraussetzungen habe sie davon ausgehen dÃ¼rfen und mÃ¼ssen, dass die Leistungsablehnung akzeptiert worden sei (Urk. 7 S. 9 unten). Im Vertrauen auf den Fallabschluss habe sie im Ã¼brigen in der verstrichenen Zeit mit dem Haftpflichtversicherer eine definitive Regelung Ã¼ber die Regressfrage erzielen kÃ¶nnen (Urk. 2/7 unten).</w:t>
      </w:r>
    </w:p>
    <w:p>
      <w:r>
        <w:rPr>
          <w:b/>
        </w:rPr>
        <w:t>E. 3</w:t>
      </w:r>
    </w:p>
    <w:p>
      <w:r>
        <w:t>3.1Â Â Â Â  Die grundsÃ¤tzliche Pflicht des Unfallversicherers zum Erlass einer formellen VerfÃ¼gung in der vorliegend strittigen Problematik ist gemÃ¤ss Art. 124 lit. b UVV klar und es ist offensichtlich, dass die Mitteilung vom 8. Mai 2002 (Urk. 2/5) diesen Vorgaben nicht entspricht.</w:t>
      </w:r>
    </w:p>
    <w:p>
      <w:r>
        <w:t>3.2Â Â Â Â  Die Frage, ob das Schreiben vom 8. Mai 2002 als eigentliche faktische VerfÃ¼gung zu qualifizieren ist, wÃ¤re ausschliesslich relevant, sofern die BeschwerdefÃ¼hrer nie den expliziten Erlass einer formellen, beschwerdefÃ¤higen VerfÃ¼gung verlangt hÃ¤tten. Dies ist jedoch mit Schreiben vom 14. Juni 2005 erfolgt (Urk. 2/6 S. 2 oben). Weiter ergaben sich zu keinem Zeitpunkt widersprÃ¼chliche Aussagen der BeschwerdefÃ¼hrer hinsichtlich der Haltung der Beschwerdegegnerin, weshalb offensichtliches NichteinverstÃ¤ndnis zu bejahen ist.</w:t>
      </w:r>
    </w:p>
    <w:p>
      <w:r>
        <w:t>3.3Â Â Â Â  Somit ist zu prÃ¼fen, innert welcher Zeitspanne bei einer zumindest inhaltlich verfÃ¼gungsÃ¤hnlichen Mitteilung eine formelle VerfÃ¼gung verlangt werden muss, ohne dass sich die antragstellende Person dem Vorwurf des Rechtsmissbrauchs aussetzt. Vorliegend steht fest, dass zwischen dem Erhalt der inhaltlich verfÃ¼gungsÃ¤hnlichen Mitteilung (13. Mai 2002, vgl. Urk. 2/5) und dem Einreichen des erstmaligen Antrags um Erlass einer formellen, beschwerdefÃ¤higen VerfÃ¼gung (14. Juni 2005, vgl. Urk. 2/6 S. 1) mehr als drei Jahre verstrichen sind.</w:t>
      </w:r>
    </w:p>
    <w:p>
      <w:r>
        <w:t>3.4Â Â Â Â  Wie in vorstehender Erw. 1.7 dargestellt, hat das EVG erst kÃ¼rzlich formuliert, dass die Forderung einer versicherten Person nach Erlass einer in der vorgeschriebenen Form ausgefertigten VerfÃ¼gung mit RechtsmittelmÃ¶glichkeit im Unfallversicherungsbereich gÃ¤nzlich in den Schutzbereich von Art. 9 BV falle, mithin den GrundsÃ¤tzen von Treu und Glauben nicht widerspreche und somit nicht rechtsmissbrÃ¤uchlich sei. Indem das EVG ausfÃ¼hrte, dass es als nicht ersichtlich betrachte, welche Interessen zu verwirklichen versucht werden kÃ¶nnten, die nicht durch das Rechtsinstitut des Handelns nach Treu und Glauben geschÃ¼tzt wÃ¤ren und damit dem Verbot rechtsmissbrÃ¤uchlichen Vorgehens zuwiderlaufen wÃ¼rden, lÃ¤sst sich dieser Entscheid nur dahingehend verstehen, dass faktisch zu jedem Zeitpunkt, jedenfalls aber Ã¼ber einen Zeitraum von mehreren Jahren, eine formelle VerfÃ¼gung im Sinne von Art. 124 UVV nachtrÃ¤glich verlangt werden kann, sofern eine solche noch nicht vorliegt.</w:t>
      </w:r>
    </w:p>
    <w:p>
      <w:r>
        <w:t>3.5Â Â Â Â  Eine andere Lesart des Entscheides vom 7. September 2006 (U 62/06) wÃ¤re durch das EVG selber vornehmen. Die Beschwerde vom 12. September 2006 ist daher gutzuheissen und die Beschwerdegegnerin zum Erlass einer formellen VerfÃ¼gung im Falle des Verzichts auf die Erbringung von Hinterlassenenleistungen zu verpflichten.</w:t>
      </w:r>
    </w:p>
    <w:p>
      <w:r>
        <w:t>Â Â Â Â Â Â Â Â  Anzumerken bleibt, dass wohl in Anlehnung an die Ã¤ltere Praxis zu dieser Frage (vgl. BGE 129 V 110, Urteil vom 9. Mai 2006 in Sachen S., U 237/05, Erw. 2.1 f.) spÃ¤testens nach der dreifachen Beschwerdefrist gegenÃ¼ber einem Einspracheentscheid, also 270 Tagen, bei nicht offensichtlichem NichteinverstÃ¤ndnis das Nachfordern einer formellen VerfÃ¼gung als rechtsmissbrÃ¤uchlich erscheinen wÃ¼rde. Bei offensichtlichem NichteinverstÃ¤ndnis wie im vorliegenden Fall wÃ¤re diese Frist allenfalls zu verdoppeln. Eine Reduktion kÃ¶nnte demgegenÃ¼ber wieder angezeigt sein zufolge Rechtskundigkeit der BeschwerdefÃ¼hrer aufgrund des VertretungsverhÃ¤ltnisses (vgl. Urteil vom 9. Mai 2006 in Sachen S., U 237/05, Erw. 3.3). Es erscheint der Rechtssicherheit jedenfalls kaum dienlich, wenn nach Ablauf mehrerer Jahre verfÃ¼gungsÃ¤hnliche Entscheide noch mittels Antrag auf Erlass einer formellen VerfÃ¼gung in Frage gestellt werden kÃ¶nnen. Ferner wÃ¼rde die PraktikabilitÃ¤t hinsichtlich der seitens der Unfallversicherer notwendigerweise zu klÃ¤renden (und vorliegend offenbar bereits erfolgten, vgl. Urk. 2/7 unten) Haftpflicht- und Regressfragen zum Nachteile der PrÃ¤mienzahler unnÃ¶tig erschwert.</w:t>
      </w:r>
    </w:p>
    <w:p>
      <w:r>
        <w:t>4.Â Â Â Â Â Â  Nach Â§ 34 Abs. 1 des Gesetzes Ã¼ber das Sozialversicherungsgericht (GSVGer) hat die obsiegende Beschwerde fÃ¼hrende Partei Anspruch auf Ersatz der Parteikosten. Diese werden ohne RÃ¼cksicht auf den Streitwert nach der Bedeutung der Streitsache, der Schwierigkeit des Prozesses und dem Mass des Obsiegens bemessen (Â§ 34 Abs. 3 GSVGer).</w:t>
      </w:r>
    </w:p>
    <w:p>
      <w:r>
        <w:t>Â Â Â Â Â Â Â Â  Vorliegend erscheint beim praxisgemÃ¤ssen Stundenansatz von Fr. 200.-- (zuzÃ¼glich Mehrwertsteuer) eine ProzessentschÃ¤digung von Fr. 1'300.-- angesichts des Aufwandes und der Schwierigkeit des Prozesses als den UmstÃ¤nden angemessen.</w:t>
      </w:r>
    </w:p>
    <w:p>
      <w:r>
        <w:t>Das Gericht erkennt:</w:t>
      </w:r>
    </w:p>
    <w:p>
      <w:r>
        <w:t>1.Â Â Â Â Â Â Â Â  In Gutheissung der Beschwerde wird die Beschwerdegegnerin verpflichtet, betreffend Hinterlassenenleistungen eine schriftliche und begrÃ¼ndete VerfÃ¼gung mit Rechtsmittelbelehrung zu erlassen.</w:t>
      </w:r>
    </w:p>
    <w:p>
      <w:r>
        <w:t>2.Â Â Â Â Â Â Â Â  Das Verfahren ist kostenlos.</w:t>
      </w:r>
    </w:p>
    <w:p>
      <w:r>
        <w:t>3.Â Â Â Â Â Â Â Â  Die Beschwerdegegnerin wird verpflichtet, den BeschwerdefÃ¼hrern eine ProzessentschÃ¤digung von Fr. 1'300.-- (inklusive Barauslagen und Mehrwertsteuer) zu bezahlen.</w:t>
      </w:r>
    </w:p>
    <w:p>
      <w:r>
        <w:t>4.Â Â Â Â Â Â Â Â  Zustellung gegen Empfangsschein an:</w:t>
      </w:r>
    </w:p>
    <w:p>
      <w:r>
        <w:t>- Rechtsanwalt Beat Gsell</w:t>
      </w:r>
    </w:p>
    <w:p>
      <w:r>
        <w:t>- Schweizerische National-Versicherungs-Gesellschaft</w:t>
      </w:r>
    </w:p>
    <w:p>
      <w:r>
        <w:t>- Bundesamt fÃ¼r Gesundheit</w:t>
      </w:r>
    </w:p>
    <w:p>
      <w:r>
        <w:t>5.Â Â Â Â Â Â Â Â  Gegen diesen Entscheid kann innert 30 Tagen seit der Zustellung beim Bundesgericht Beschwerde eingereicht werden (Art. 90 und 100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