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UV.2006.00108 vom 7. November 2007</w:t>
      </w:r>
    </w:p>
    <w:p>
      <w:r>
        <w:t>ZH Sozialversicherungsgericht, 2007-11-07, DE</w:t>
      </w:r>
    </w:p>
    <w:p>
      <w:r>
        <w:rPr>
          <w:b/>
        </w:rPr>
        <w:t xml:space="preserve">Quelle: </w:t>
      </w:r>
      <w:r>
        <w:t>https://mcp.opencaselaw.ch/entscheid/zh_sozialversicherungsgericht_UV.2006.00108</w:t>
      </w:r>
    </w:p>
    <w:p>
      <w:r>
        <w:t>FR: ZH_SOZIALVERSICHERUNGSGERICHT UV.2006.00108 du 7 novembre 2007</w:t>
      </w:r>
    </w:p>
    <w:p>
      <w:r>
        <w:t>IT: ZH_SOZIALVERSICHERUNGSGERICHT UV.2006.00108 del 7 novembre 2007</w:t>
      </w:r>
    </w:p>
    <w:p>
      <w:pPr>
        <w:pStyle w:val="Heading2"/>
      </w:pPr>
      <w:r>
        <w:t>Erwägungen</w:t>
      </w:r>
    </w:p>
    <w:p>
      <w:r>
        <w:rPr>
          <w:b/>
        </w:rPr>
        <w:t>E. 1</w:t>
      </w:r>
    </w:p>
    <w:p>
      <w:r>
        <w:t>1.1Â Â Â Â  K.___, geboren am 8. September 1941, war seit 1. Mai 1995 als Kundenberater bei der B.___ angestellt und '___' in seiner Eigenschaft als Arbeitnehmer gegen die Folgen von Berufs- und Nichtberufsunfall sowie Berufskrankheit obligatorisch versichert (vgl. Urk. 11/Z1).</w:t>
      </w:r>
    </w:p>
    <w:p>
      <w:r>
        <w:t>1.2Â Â Â Â  Am 7. August 2002 zog sich der Versicherte beim Radwechsel eine Handverletzung rechts zu (vgl. Urk. 7/ZM1), worauf ihm die ''ZÃ¼rich'' Versicherungs-Gesellschaft die gesetzlichen Taggeld- und Heilbehandlungsleistungen erbrachte (vgl. Urk. 11/Z3 ff.).</w:t>
      </w:r>
    </w:p>
    <w:p>
      <w:r>
        <w:t>Nach einem schwierigen Heilungsverlauf und erheblichen Komplikationen mit daraus resultierender anhaltender gesundheitlicher BeeintrÃ¤chtigung der ArbeitsfÃ¤higkeit und bleibender SchÃ¤digung der kÃ¶rperlichen IntegritÃ¤t (vgl. Urk. 7/ZM2-ZM14) wurde dem Versicherten mit VerfÃ¼gung der ''ZÃ¼rich'' Versicherungs-Gesellschaft vom 9. Dezember 2004 (Urk. 11/Z78) eine Invalidenrente der Unfallversicherung auf der Basis eines InvaliditÃ¤tsgrads von rund 51 % (50.8 %) und eines versicherten Verdienstes von Fr. 73'080.-- mit Wirkung ab 1. August 2004 sowie eine IntegritÃ¤tsentschÃ¤digung gestÃ¼tzt auf eine Einbusse von 30 % zugesprochen. Gleichzeitig wurde die Einstellung der Taggeldleistungen auf den Zeitpunkt der Berentung sowie die BeschrÃ¤nkung von Heilbehandlungsleistungen nach Massgabe von "Art. 21 Abs. d" des Bundesgesetzes Ã¼ber die Unfallversicherung (UVG) verfÃ¼gt; letzteres mit dem Hinweis, dass nach erfolgter Rentenfestsetzung fÃ¼r Therapien und Medikamente nurmehr aufgekommen werde, soweit der Versicherte erwerbsunfÃ¤hig sei und sein unfallbedingter Gesundheitszustand durch medizinische Vorkehren wesentlich verbessert oder vor wesentlicher BeeintrÃ¤chtigung bewahrt werden kÃ¶nne.</w:t>
      </w:r>
    </w:p>
    <w:p>
      <w:r>
        <w:t>Gegen die InvaliditÃ¤tsbemessung und Rentenberechnung sowie gegen die Regelung der Heilbehandlungsleistung nach Rentenfestsetzung liess der Versicherte am 4. Januar 2005 Einsprache (Urk. 11/Z81) erheben, welcher sich der zustÃ¤ndige Krankenversicherer (A.___ AG) am 1. MÃ¤rz 2005 anschloss (Urk. 11/Z87). Im Laufe des Einspracheverfahrens einigte sich die ''ZÃ¼rich'' Versicherungs-Gesellschaft mit dem Versicherten in der Rentenfrage auf einen InvaliditÃ¤tsgrad von 75 % (in Anlehnung an die Festlegung der Invalidenversicherung) und einen versicherten Verdienst von Fr. 97'726.-- (vgl. Urk. 11/Z95-Z96), wogegen bezÃ¼glich der rentenbegleitenden HeilbehandlungsmodalitÃ¤ten keine Einigung erzielt werden konnte (vgl. Urk. 11/Z97-Z100).</w:t>
      </w:r>
    </w:p>
    <w:p>
      <w:r>
        <w:t>Mit Entscheid vom 19. Dezember 2005 (Urk. 2 = 11/Z101) Ã¤nderte die ''ZÃ¼rich'' Versicherungs-Gesellschaft den angefochtenen Entscheid - in sinngemÃ¤sser teilweiser Einsprachegutheissung - dahingehend ab, dass sie den InvaliditÃ¤tsgrad auf 75 % (Disp.-Ziff. 1b) und den versicherten Verdienst auf Fr. 97'726.-- (Disp.-Ziff. 1a) erhÃ¶hte; im Weiteren bestÃ¤tigte sie den per 31. Juli 2004 erfolgten Fallabschluss sowie die der IntegritÃ¤tsentschÃ¤digung zugrunde gelegte Einbusse von 30 % (Disp.-Ziff. 1d) und stellte klar, dass Heilbehandlungsleistungen in Anwendung von Art. 21 Abs. 1 lit. c UVG nur bis zur Pensionierung Ã¼bernommen wÃ¼rden (Disp.-Ziff. 1c).</w:t>
      </w:r>
    </w:p>
    <w:p>
      <w:r>
        <w:t>1.3Â Â Â Â  Die VollzugsverfÃ¼gung vom 21. Dezember 2005 (Urk. 11/Z102) betreffend KomplementÃ¤rrenten- und Nachzahlungsberechnung wurde auf Einsprache des Versicherten vom 12. Januar 2006 (Urk. 11/Z104) hin mit WiedererwÃ¤gungsverfÃ¼gung vom 31. Januar 2006 (Urk. 11/Z107) korrigiert.</w:t>
      </w:r>
    </w:p>
    <w:p>
      <w:r>
        <w:rPr>
          <w:b/>
        </w:rPr>
        <w:t>E. 2</w:t>
      </w:r>
    </w:p>
    <w:p>
      <w:r>
        <w:t>2.1Â Â Â Â  Nach Art. 10 Abs. 1 UVG hat die versicherte Person Anspruch auf die zweckmÃ¤ssige Behandlung der Unfallfolgen, nÃ¤mlich auf die ambulante Behandlung durch den Arzt, den Zahnarzt oder auf deren Anordnung durch eine medizinische Hilfsperson sowie im Weiteren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GemÃ¤ss Art. 10 Abs. 3 UVG kann der Bundesrat die Leistungspflicht der Versicherung nÃ¤her umschreiben und die KostenvergÃ¼tung fÃ¼r Behandlung im Ausland begrenzen (Satz 1); er kann festlegen, unter welchen Voraussetzungen und in welchem Umfang die versicherte Person Anspruch auf Hauspflege hat (Satz 2). In AusÃ¼bung dieser Gesetzesdelegation hat der Bundesrat den Anspruch auf Pflegeleistungen und KostenvergÃ¼tungen in Art. 15 ff. der Verordnung Ã¼ber die Unfallversicherung (UVV) nÃ¤her definiert.</w:t>
      </w:r>
    </w:p>
    <w:p>
      <w:r>
        <w:t>2.2Â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oder die Berufskrankheit eine InvaliditÃ¤t im Sinne von Art. 8 Abs. 1 des Bundesgesetzes Ã¼ber den Allgemeinen Teil des Sozialversicherungsrechts (ATSG) hinterlÃ¤sst (Art. 19 Abs. 1 UVG e contrario; BGE 116 V 44 Erw. 2c). Mit dem Rentenbeginn fÃ¤llt die Heilbehandlung mithin grundsÃ¤tzlich dahin. GemÃ¤ss Art. 21 Abs. 1 UVG werden der versicherten Person nach der Festsetzung der Rente Pflegeleistungen und KostenvergÃ¼tungen nur noch dann gewÃ¤hrt, wenn sie:</w:t>
      </w:r>
    </w:p>
    <w:p>
      <w:r>
        <w:t>- an einer Berufskrankheit leidet (lit. a);</w:t>
      </w:r>
    </w:p>
    <w:p>
      <w:r>
        <w:t>- unter einem RÃ¼ckfall oder an SpÃ¤tfolgen leidet und die ErwerbsfÃ¤higkeit durch medizinische Vorkehren wesentlich verbessert oder vor wesentlicher BeeintrÃ¤chtigung bewahrt werden kann (lit. b);</w:t>
      </w:r>
    </w:p>
    <w:p>
      <w:r>
        <w:t>- zur Erhaltung ihrer verbleibenden ErwerbsfÃ¤higkeit dauernd der Behandlung und Pflege bedarf (lit. c);</w:t>
      </w:r>
    </w:p>
    <w:p>
      <w:r>
        <w:t>- erwerbsunfÃ¤hig ist und ihr Gesundheitszustand durch medizinische Vorkehren wesentlich verbessert oder vor wesentlicher BeeintrÃ¤chtigung bewahrt werden kann (lit. d).</w:t>
      </w:r>
    </w:p>
    <w:p>
      <w:r>
        <w:t>2.3Â Â Â Â  Ausgangspunkt jeder Auslegung bildet der Wortlaut der Bestimmung. Ist der Text nicht ganz klar und sind verschiedene Interpretationen mÃ¶glich, so muss nach seiner wahren Tragweite gesucht werden unter BerÃ¼cksichtigung aller Auslegungselemente. Abzustellen ist dabei namentlich auf die Entstehungsgeschichte der Norm und ihren Zweck, auf die dem Text zugrunde liegenden Wertungen sowie auf die Bedeutung, die der Norm im Kontext mit anderen Bestimmungen zukommt. Die Gesetzesmaterialien sind zwar nicht unmittelbar entscheidend, dienen aber als Hilfsmittel, um den Sinn der Norm zu erkennen (BGE 131 I 396 Erw. 3.2, 131 II 368 Erw. 4.2, 131 V 93 Erw. 4.1, 176 Erw. 3.1, 439 Erw. 6.1 und 130 II 211 Erw. 5.1, mit Hinweisen). Namentlich bei neueren Texten kommt den Materialien eine besondere Stellung zu, weil verÃ¤nderte UmstÃ¤nde oder ein gewandeltes RechtsverstÃ¤ndnis eine andere LÃ¶sung weniger nahe legen (BGE 131 V 292 Erw. 5.2, 128 I 292 Erw. 2.4, 124 II 377 Erw. 6a). Das Bundesgericht hat sich bei der Auslegung von Erlassen stets von einem Methodenpluralismus leiten lassen und nur dann allein auf das grammatikalische Element abgestellt, wenn sich daraus zweifelsfrei die sachlich richtige LÃ¶sung ergab (BGE 131 II 703 Erw. 4.1 und 124 II 376 Erw. 5, mit Hinweisen).</w:t>
      </w:r>
    </w:p>
    <w:p>
      <w:r>
        <w:t>Ausnahmebestimmungen sind weder restriktiv noch extensiv, sondern nach ihrem Sinn und Zweck im Rahmen der allgemeinen Regelung auszulegen (BGE 130 V 233 Erw. 2.2, 118 Ia 179 Erw. 2d, 117 Ib 121 Erw. 7c, 114 V 302 Erw. 3e, je mit Hinweisen; vgl. BGE 131 V 285 Erw. 2.4 und 130 V 478 Erw. 6.5.6).</w:t>
      </w:r>
    </w:p>
    <w:p>
      <w:r>
        <w:rPr>
          <w:b/>
        </w:rPr>
        <w:t>E. 3</w:t>
      </w:r>
    </w:p>
    <w:p>
      <w:r>
        <w:t>3.1Â Â Â Â  Klar ist zunÃ¤chst, dass der BeschwerdefÃ¼hrer an keiner Berufskrankheit, sondern an Unfallfolgen leidet. Damit scheidet der anspruchsbegrÃ¼ndende Ausnahmetatbestand von Art. 21 Abs. 1 lit. a UVG von vornherein aus.</w:t>
      </w:r>
    </w:p>
    <w:p>
      <w:r>
        <w:t>3.2Â Â Â Â  Alsdann gehen die Parteien implizit und zu Recht darin einig, dass vorliegend weder RÃ¼ckfall- noch SpÃ¤tfolgen zu beurteilen sind, so dass auch eine Anspruchsgrundlage gemÃ¤ss Art. 21 Abs. 1 lit. b UVG ausser Betracht fÃ¤llt.</w:t>
      </w:r>
    </w:p>
    <w:p>
      <w:r>
        <w:t>3.3Â Â Â Â  Unbestritten und erstellt ist weiter, dass der BeschwerdefÃ¼hrer bei einem InvaliditÃ¤tsgrad von 75 % nicht als gÃ¤nzlich erwerbsunfÃ¤hig und damit nicht als vollinvalid zu qualifizieren ist. Zwar mag das ihm verbliebene RestleistungsvermÃ¶gen womÃ¶glich arbeitsmarktlich schwer zu verwerten sein (Urk. 1 S. 5 Rz. 4.3), doch hat die rechtskrÃ¤ftig abgeschlossene InvaliditÃ¤tsschÃ¤tzung einen weit unter 100 % liegenden InvaliditÃ¤tsgrad ergeben. Da gemÃ¤ss Art. 21 Abs. 1 lit. d UVG ein Anspruch auf Heilbehandlung (unter bestimmten Voraussetzungen) nur erwerbsunfÃ¤higen RentenbezÃ¼gern zusteht und ErwerbsunfÃ¤higkeit nach dem klaren und eindeutigen und somit nicht weiter auslegungsbedÃ¼rftigen Wortlaut VollinvaliditÃ¤t bedeutet (BGE 124 V 57 Erw. 4; Urteil des damaligen EidgenÃ¶ssischen Versicherungsgerichts [EVG] vom 9. Januar 2001 in Sachen S. [U 120/00] Erw. 1b; vgl. Rumo-Jungo, Bundesgesetz Ã¼ber die Unfallversicherung, in: Murer/Stauffer [Hrsg.], Rechtsprechung des Bundesgerichts zum Sozialversicherungsrecht, 3. Aufl., ZÃ¼rich 2003, S. 149; Maurer, Schweizerisches Unfallversicherungsrecht, 2. Aufl., Bern 1989, S. 384; vgl. auch FrÃ©sard/Moser-Szeless, L'assurance-accidents obligatoire, in: Meyer [Hrsg.], Schweizerisches Bundesverwaltungsrecht/Soziale Sicherheit, 2. Aufl., Basel etc. 2007, S. 910; GhÃ©lew/Ramelet/Ritter, Commentaire de la loi sur l'assurance-accidents [LAA], Lausanne 1992, S. 113), kann sich der BeschwerdefÃ¼hrer auch nicht auf Art. 21 Abs. 1 lit. d UVG berufen. Seine an der entsprechenden Praxis geÃ¼bte Kritik (Urk. 1 S. 9 f. Rz. 5.4.3 und 5.5) vermag hieran aus Sicht des kantonalen Gerichts nichts zu Ã¤ndern.</w:t>
      </w:r>
    </w:p>
    <w:p>
      <w:r>
        <w:t>3.4Â Â Â Â  WÃ¤hrend der an einer Berufskrankheit leidende Rentner den Heilbehandlungsanspruch gemÃ¤ss Art. 21 Abs. 1 lit. a UVG voraussetzungslos hat (vgl. die Kritik bei Maurer, a.a.O., S. 383 Fn. 960), setzen die Ã¼brigen TatbestÃ¤nde in unterschiedlichem Masse eine erwerbliche (Art. 21 Abs. 1 lit. b und c UVG) oder gesundheitliche (Art. 21 Abs. 1 lit. d UVG) Eingliederungswirksamkeit voraus (BGE 116 V 45 Erw. 3b). Zwar ist der Wortlaut diesbezÃ¼glich nicht ohne weiteres klar, doch kann Sinn und Zweck der Bezugnahme auf die erwerbliche Eingliederungswirksamkeit in Art. 21 Abs. 1 lit. c UVG nur sein, dass die Heilbehandlung nicht mehr gewÃ¤hrt wird, sobald der RentenbezÃ¼ger das Pensionsalter erreicht hat (in diesem Sinne trotz Kritik Maurer, a.a.O., S. 384 Fn. 962b; im Ergebnis gleicher Meinung offenbar auch Rumo-Jungo, a.a.O., S. 149; vgl. auch FrÃ©sard/Moser-Szeless, a.a.O., S. 910; GhÃ©lew/Ramelet/Ritter, a.a.O., S. 112). Wohl hatte das alte Unfallversicherungsrecht gemÃ¤ss dem bis Ende 1983 in Kraft gestandenen Bundesgesetz Ã¼ber die Kranken- und Unfallversicherung (KUVG) eine Pflicht zur GewÃ¤hrung Ã¤rztlicher Behandlung Ã¼ber die initiale Behandlungsphase hinaus nur in engen Grenzen vorgesehen und ist mit Art. 21 UVG die "Heilbehandlung nach Festsetzung der Rente" (Marginale) Gegenstand eingehender Regelung geworden (BGE 116 V 44 Erw. 2d), indessen findet sich in den einschlÃ¤gigen Materialien kein stichhaltiger Hinweis dafÃ¼r, dass verunfallte teilinvalide Personen - im Unterschied zu den in dieser Hinsicht privilegierten Opfern von Berufskrankheiten (Art. 21 Abs. 1 lit. a UVG) und bei Rentenfestsetzung vollinvaliden Unfallopfern (Art. 21 Abs. 1 lit. d UVG) - Ã¼ber das Pensionierungsalter hinaus in den Genuss von Heilbehandlungsleistungen der Unfallversicherung kommen sollten (Botschaft zum Bundesgesetz Ã¼ber die Unfallversicherung vom 18. August 1976, BBl. 1976 III S. 141 ff. bzw. entsprechender Sonderdruck); den vom BeschwerdefÃ¼hrer zitierten Belegstellen (S. 36 ff. und S. 108; Urk. 1 S. 9 Rz. 5.4.1 und 5.4.2) ist jedenfalls nichts Dergleichen zu entnehmen. Zum unverÃ¤ndert ins Gesetz Ã¼berfÃ¼hrten und heute noch geltenden Entwurfstext von Art. 21 UVG (s. zum Wortlaut BBl. 1976 III S. 247 bzw. Botschafts-Sonderdruck S. 107) wurde in der bundesrÃ¤tlichen Botschaft bloss erlÃ¤uternd ausgefÃ¼hrt, die MÃ¶glichkeit der GewÃ¤hrung einer notwendigen Heilbehandlung nach Zusprechung der Invalidenrente werde gegenÃ¼ber dem geltenden Recht erweitert, wobei die eine Nachbehandlung rechtfertigenden TatbestÃ¤nde abschliessend umschrieben wÃ¼rden: Berufskrankheiten, RÃ¼ckfÃ¤lle und SpÃ¤tfolgen, Erhaltung oder Verbesserung der ErwerbsfÃ¤higkeit oder Verhinderung einer weiteren BeeintrÃ¤chtigung des Gesundheitszustandes (BBl. 1976 III S. 191 f. bzw. Botschafts-Sonderdruck S. 51 f.). Im Rahmen der parlamentarischen Beratung wurde der unverÃ¤nderten bundesrÃ¤tlichen Gesetzesvorlage ohne einschlÃ¤gige Wortmeldung zugestimmt (vgl. Amtl.Bull. NR 1979 S. 136 ff., 159 ff., 249 ff. und 278 ff.; Amtl.Bull. NR 1981 S. 18 ff. und 30 ff.; Amtl.Bull. SR 1980 S. 464 ff. und 493 ff.; Amtl.Bull. SR 1981 S. 54 ff. und 181). In der Literatur mag die Konsequenz der zeitlichen BeschrÃ¤nkung des Heilbehandlungsanspruchs verunfallter teilinvalider Rentner gemÃ¤ss Art. 21 Abs. 1 lit. c UVG als so unsozial bezeichnet werden, dass der Gesetzgeber sie kaum gewollt haben kÃ¶nne (so Maurer, a.a.O., S. 384 Fn. 962b; vgl. unter Bezugnahme auf diesen Autor auch FrÃ©sard/Moser-Szeless, a.a.O., S. 112). Allerdings wird dieser vom augenfÃ¤lligen Sinn und Zweck abweichende Schluss nicht weiter untermauert. Im Vergleich zur Rechtslage vor Inkrafttreten von Art. 21 UVG (s. dazu die Rechtsprechungshinweise bei Maurer, a.a.O., S. 383 Fn. 957) stellt denn auch bereits der an die erwerbliche Eingliederungswirksamkeit geknÃ¼pfte und folglich bis zur Pensionierung zeitlich befristete Heilbehandlungsanspruch teilinvalider Unfallopfer nach Festsetzung der Rente den im Gesetzgebungsverfahren erklÃ¤rtermassen angestrebten Fortschritt dar. Immerhin kann der Pensionierungszeitpunkt im Einzelfall variieren, je nachdem, ob die versicherte Person Ã¼ber das ordentliche RÃ¼cktrittsalter hinaus arbeitet oder ohne Unfall mit Ã¼berwiegender Wahrscheinlichkeit weiter gearbeitet hÃ¤tte. In diesem Sinne ist wohl der in der Botschaft enthaltene und vom BeschwerdefÃ¼hrer angefÃ¼hrte (Urk. 1 S. 9 Rz. 5.4.2) Hinweis zu verstehen, wonach den Ã¼ber das AHV-RÃ¼cktrittsalter hinaus weiter arbeitenden Unfallversicherten gegebenenfalls die Heilungskosten und allfÃ¤llige Taggelder zu vergÃ¼ten seien (BBl. 1976 III S. 173 bzw. Botschafts-Sonderdruck S. 33). Wie es sich damit beim 1941 geborenen BeschwerdefÃ¼hrer verhÃ¤lt, braucht nun aber vorliegend angesichts des beurteilungsrelevanten Zeitpunkts (19. Dezember 2005; vgl. BGE 130 V 140 Erw. 2.1, mit Hinweis) nicht entschieden zu werden. Freilich finden sich in den Akten - soweit ersichtlich (Urk. 3/3-13, 11/Z1-Z108 und 11/ZM1-ZM14) - auch keinerlei Anhaltspunkte dafÃ¼r, dass der BeschwerdefÃ¼hrer ohne Unfall Ã¼ber das - mittlerweile erreichte - ordentliche RÃ¼cktrittsalter hinaus erwerbstÃ¤tig und dabei der obligatorischen Unfallversicherung unterstellt geblieben wÃ¤re.</w:t>
      </w:r>
    </w:p>
    <w:p>
      <w:r>
        <w:t>4.Â Â Â Â Â Â  Zusammengefasst fÃ¼hrt dies zur kosten- und entschÃ¤digungsfreien Abweisung der Beschwerde (Â§ 33 f. des Gesetzes Ã¼ber das Sozialversicherungsgericht [GSVGer]; s. auch Art. 61 lit. a und g ATSG in Verbindung mit Art. 1 UVG und Art. 105 ff. UVG).</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Albrecht Metzger</w:t>
      </w:r>
    </w:p>
    <w:p>
      <w:r>
        <w:t>- Rechtsanwalt Hermann RÃ¼egg</w:t>
      </w:r>
    </w:p>
    <w:p>
      <w:r>
        <w:t>- A.___ AG, '___'</w:t>
      </w:r>
    </w:p>
    <w:p>
      <w:r>
        <w:t>- Bundesamt fÃ¼r Gesundheit (BAG)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