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UV.2006.00016 vom 21. März 2007</w:t>
      </w:r>
    </w:p>
    <w:p>
      <w:r>
        <w:t>ZH Sozialversicherungsgericht, 2007-03-21, DE</w:t>
      </w:r>
    </w:p>
    <w:p>
      <w:r>
        <w:rPr>
          <w:b/>
        </w:rPr>
        <w:t xml:space="preserve">Quelle: </w:t>
      </w:r>
      <w:r>
        <w:t>https://mcp.opencaselaw.ch/entscheid/zh_sozialversicherungsgericht_UV.2006.00016</w:t>
      </w:r>
    </w:p>
    <w:p>
      <w:r>
        <w:t>FR: ZH_SOZIALVERSICHERUNGSGERICHT UV.2006.00016 du 21 mars 2007</w:t>
      </w:r>
    </w:p>
    <w:p>
      <w:r>
        <w:t>IT: ZH_SOZIALVERSICHERUNGSGERICHT UV.2006.00016 del 21 marzo 2007</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1.2Â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1.3Â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w:t>
      </w:r>
    </w:p>
    <w:p>
      <w:r>
        <w:t>1.4Â Â Â Â  GemÃ¤ss Art. 22 Abs. 2 UVV gilt der nach der Bundesgesetzgebung Ã¼ber die Alters- und Hinterlassenenversicherung (AHVG) massgebende Lohn als versicherter Verdienst. Laut Art. 5 Abs. 2 AHVG gilt als massgebender Lohn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darstellen.Â</w:t>
      </w:r>
    </w:p>
    <w:p>
      <w:r>
        <w:t>Â Â Â Â Â Â Â Â  Art. 7 der Verordnung Ã¼ber die Alters- und Hinterlassenenversicherung (AHVV) besagt, dass zu dem fÃ¼r die Berechnung des massgebenden Lohns BeitrÃ¤ge gehÃ¶ren, soweit sie nicht UnkostenentschÃ¤digungen und damit Spesenersatz darstellten. Art. 9 Abs. 1 AHVV bestimmt sodann, dass bei Arbeitnehmern, welche bei der AusfÃ¼hrung ihrer Arbeiten entstehenden Unkosten ganz oder teilweise selbst tragen, die Unkosten in Abzug gebracht werden kÃ¶nnen, sofern nachgewiesen wird, dass sie mindestens 10 % des ausbezahlten Lohnes betragen. Nicht unter diese Bestimmung fallen jene Unkosten, die der Arbeitgeber getrennt vom Lohn vergÃ¼tet; diese kÃ¶nnen in jedem Fall abgezogen werden (Art. 9 Abs. 3 AHVV; vgl. AHI-Praxis 5/1996 S. 248 Erw. 3a).</w:t>
      </w:r>
    </w:p>
    <w:p>
      <w:r>
        <w:t>Â Â Â Â Â Â Â Â</w:t>
      </w:r>
    </w:p>
    <w:p>
      <w:r>
        <w:t>2.Â Â Â Â Â Â</w:t>
      </w:r>
    </w:p>
    <w:p>
      <w:r>
        <w:t>2.1Â Â Â Â  Streitig und zu prÃ¼fen ist einzig die HÃ¶he des versicherten Verdienstes. Unstreitig sind die vollstÃ¤ndige ArbeitsunfÃ¤higkeit des BeschwerdefÃ¼hrers fÃ¼r seine angestammte TÃ¤tigkeiten als GerÃ¼stmonteur und das Fehlen einer behinderungsangepassten ArbeitsfÃ¤higkeit, der Anspruch auf eine ganze Rente, der Rentenbeginn und die prozentuale HÃ¶he der IntegritÃ¤tsentschÃ¤digung.</w:t>
      </w:r>
    </w:p>
    <w:p>
      <w:r>
        <w:t>2.2Â Â Â Â  Die Beschwerdegegnerin stÃ¼tzte sich auf die Angaben der Arbeitgeberin (Urk. 10/57) und ging von einem versicherten Verdienst von Fr. 80'477.-- aus (Urk. 10/123; Urk. 10/121). Dabei bezog sie neben dem Grundlohn die ÃberzeitentschÃ¤digungen, die Kinderzulagen, eine einmalige PrÃ¤mienzulage und den anteiligen 13. Monatslohn mit ein.</w:t>
      </w:r>
    </w:p>
    <w:p>
      <w:r>
        <w:t>2.3Â Â Â Â  Der BeschwerdefÃ¼hrer machte demgegenÃ¼ber geltend, bei der Berechnung des versicherten Verdiensts seien zudem noch Fr. 100.-- pro Monat, also Fr. 1'200.-- (Fr. 100.-- x 12) hinzuzuzÃ¤hlen (Urk. 1 S. 3 Ziff. 2). Die Beschwerdegegnerin habe zwar neben dem Monatsgrundlohn bei der Berechnung des versicherten Verdienstes die Kinderzulagen, den Anteil des 13. Monatslohns, eine PrÃ¤mienzulage (im Juni 2001) und ÃberzeitentschÃ¤digungen berÃ¼cksichtigt, nicht aber die monatlichen ÂFixspesenÂ von Fr. 100.--. Diese seien in den dem Unfall vorangehenden 365 Tagen ununterbrochen ausgerichtet worden (Urk. 1 S. 3 Ziff. 3). Zu Beginn der Anstellung habe er diese Fixspesen noch nicht erhalten, sondern erst nach einiger Zeit, als Anerkennung fÃ¼r seine gute Arbeit und fÃ¼r die Tatsache, dass er als Chauffeur nie einen Schaden angerichtet habe. Diese Fixspesen stellten daher mit Sicherheit einen - wenn auch versteckten - Lohnanteil dar, auf welchen an sich PrÃ¤mien zu erheben und der bei der Berechnung der Renten zu berÃ¼cksichtigen seien (Urk. 1 S. 3 Ziff. 4). Dies lasse sich ausserdem damit erklÃ¤ren, dass lÃ¤ngst nicht alle Mitarbeiter der Roth GerÃ¼ste AG, welche an denselben Einsatzorten die gleiche Arbeit ausfÃ¼hrten, diese Fixspesen erhielten (Urk. 1 S. 4 Ziff. 5 und S. 5 Ziff. 7). Demzufolge stÃ¤nden diese Fixspesen nicht im Zusammenhang mit tatsÃ¤chlich angefallenen Auslagen, sondern stellten einen versteckten Lohnanteil dar (Urk. 1 S. 5 Ziff. 7). Zusammenfassend sei somit mindestens von einem versicherten Verdienst von Fr. 81'677.-- auszugehen (Urk. 1 S. 5 Ziff. 8).</w:t>
      </w:r>
    </w:p>
    <w:p>
      <w:r>
        <w:rPr>
          <w:b/>
        </w:rPr>
        <w:t>E. 3</w:t>
      </w:r>
    </w:p>
    <w:p>
      <w:r>
        <w:t>Â Â Â Â Â  Zu prÃ¼fen ist einzig die Berechnung des versicherten Verdienstes. DiesbezÃ¼glich hat die Beschwerdegegnerin bei dessen Berechnung den Monatsgrundlohn, die Kinderzulagen, den Anteil des 13. Monatslohns, eine PrÃ¤mienzulage im Juni 2001 und ÃberzeitentschÃ¤digungen berÃ¼cksichtigt (vgl. Urk. 10/57 S. 1).</w:t>
      </w:r>
    </w:p>
    <w:p>
      <w:r>
        <w:t>Â Â Â Â Â Â Â Â  Vor Einreichung ihrer Vernehmlassung vom 4. Mai 2006 (Urk. 9) nahm die Beschwerdegegnerin erneut RÃ¼cksprache mit der Personalabteilung der Arbeitgeberin (vgl. Urk. 10/135-136). In Beantwortung diverser Fragen wurde dabei ausgefÃ¼hrt, dass dem BeschwerdefÃ¼hrer vom MÃ¤rz 1999 bis im April 2002 die ÂFixspesenÂ von Fr. 100.-- pro Monat als fixe Spesen fÃ¼r diverse kleine Aufwendungen im Arbeitsalltag wie ParkplatzgebÃ¼hren, Telefon- und Natelkosten etc. ausgerichtet worden seien. Vereinzelt seien solche fixen Spesen auch anderen Mitarbeitern aus demselben Grund ausbezahlt worden (Urk. 10/136 und Urk. 9 S. 3 Ziff. 5). Diese AuskÃ¼nfte der Arbeitgeberin erscheinen glaubwÃ¼rdig und nachvollziehbar.</w:t>
      </w:r>
    </w:p>
    <w:p>
      <w:r>
        <w:t>Â Â Â Â Â Â Â Â  DemgegenÃ¼ber vermÃ¶gen die AusfÃ¼hrungen des BeschwerdefÃ¼hrers nicht zu Ã¼berzeugen, wonach ihm die Fr. 100.-- monatlich als verdeckter Lohnbestandteil ausgerichtet worden seien, als Anerkennung fÃ¼r seine gute Arbeit und fÃ¼r die Tatsache, dass er als Chauffeur nie einen Schaden angerichtet habe (vgl. Urk. 1 S. 3 Ziff. 4). Dagegen spricht zum einen, dass gemÃ¤ss Lohnkonto jeweils per 1. April eine LohnerhÃ¶hung erfolgte; diese betrug per April 2001 Fr. 160.--, per April 2002 Fr. 70.-- (vgl. Urk. 10/57). Zum anderen sprechen die ausdrÃ¼ckliche Ausweisung und Verbuchung der Fr. 100.-- als Fixspesen im Lohnkonto (vgl. Urk. 10/57) wie auch die eindeutigen Aussagen der Arbeitgeberin (vgl. Urk. 10/136; vgl. Urk. 9 S. 3 Ziff. 5) dagegen. Die explizit ausgewiesenen, ausgerichteten Fixspesen in der HÃ¶he von monatlich Fr. 100.-- sind somit als reiner Unkostenersatz zu qualifizieren.</w:t>
      </w:r>
    </w:p>
    <w:p>
      <w:r>
        <w:t>Â Â Â Â Â Â Â Â  Da aufgrund der gesetzlichen Regelung Unkostenersatz nicht als Lohnbestandteil gilt (vgl. vorstehend Erw. 1.4), kÃ¶nnen die ausgerichteten Fixspesen fÃ¼r ParkplatzgebÃ¼hren, Telefon- und Natelkosten in der HÃ¶he von Fr. 100.-- pro Monat - entgegen der Ansicht des BeschwerdefÃ¼hrers - nicht zum versicherten Verdienst hinzugerechnet werden.</w:t>
      </w:r>
    </w:p>
    <w:p>
      <w:r>
        <w:t>Â Â Â Â Â Â Â Â  Vorliegend betrÃ¤gt somit der versicherte Verdienst - wie von der Beschwer-degegnerin veranschlagt - Fr. 80'477.--.</w:t>
      </w:r>
    </w:p>
    <w:p>
      <w:r>
        <w:t>Â Â Â Â Â Â Â Â  Damit erweist sich die Beschwerde als unbegrÃ¼ndet, weswegen sie abzuweisen ist.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w:t>
      </w:r>
    </w:p>
    <w:p>
      <w:r>
        <w:t>- Rechtsanwalt Rudolf Keiser</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