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UV.2005.00193 vom 21. August 2006</w:t>
      </w:r>
    </w:p>
    <w:p>
      <w:r>
        <w:t>ZH Sozialversicherungsgericht, 2006-08-21, DE</w:t>
      </w:r>
    </w:p>
    <w:p>
      <w:r>
        <w:rPr>
          <w:b/>
        </w:rPr>
        <w:t xml:space="preserve">Quelle: </w:t>
      </w:r>
      <w:r>
        <w:t>https://mcp.opencaselaw.ch/entscheid/zh_sozialversicherungsgericht_UV.2005.00193</w:t>
      </w:r>
    </w:p>
    <w:p>
      <w:r>
        <w:t>FR: ZH_SOZIALVERSICHERUNGSGERICHT UV.2005.00193 du 21 août 2006</w:t>
      </w:r>
    </w:p>
    <w:p>
      <w:r>
        <w:t>IT: ZH_SOZIALVERSICHERUNGSGERICHT UV.2005.00193 del 21 agosto 2006</w:t>
      </w:r>
    </w:p>
    <w:p>
      <w:pPr>
        <w:pStyle w:val="Heading2"/>
      </w:pPr>
      <w:r>
        <w:t>Erwägungen</w:t>
      </w:r>
    </w:p>
    <w:p>
      <w:r>
        <w:rPr>
          <w:b/>
        </w:rPr>
        <w:t>E. 3</w:t>
      </w:r>
    </w:p>
    <w:p>
      <w:r>
        <w:t>3.1Â Â Â Â  Der BeschwerdefÃ¼hrer rutschte am 16. Dezember 2000 in Jugoslawien aus und zog sich dabei eine Unterschenkelfraktur links sowie eine Fraktur des InnenknÃ¶chels rechts zu (Urk. 7/1). Die Gipsversorgung erfolgte vor Ort. Am 20. De-zember 2000 kehrte er in die Schweiz zurÃ¼ck, wurde gleichentags ins A.___ (A.___), Departement Chirurgie, Klinik fÃ¼r Unfallchirurgie, eingewiesen und war bis am 6. Januar 2001 dort hospitalisiert. Die Unterschenkelfraktur wurde am 21. Dezember 2000 mit einem Verriegelungsnagel und die InnenknÃ¶chelfraktur am 29. Dezember 2000 mit Schrauben versorgt (Urk. 7/4-5). Wegen anhaltender Schmerzen wurden am 5. Juli 2001 im A.___ die Verriegelungsschrauben entfernt (Urk. 7/15-16). Vom 9. bis 12. Juni 2002 war er in der B.___ hospitalisiert, um am Tibia links Metall und am rechten Fuss die Schrauben zu entfernen (Urk. 7/35).</w:t>
      </w:r>
    </w:p>
    <w:p>
      <w:r>
        <w:t>3.2Â Â Â Â  Die Ãrzte der B.___ berichteten am 18. November 2002, der BeschwerdefÃ¼hrer habe nach der Osteosynthesematerialentfernung im September 2002 wieder versucht zu arbeiten, was wegen der permanenten Schmerzen jedoch weiterhin nicht mÃ¶glich gewesen sei. Er habe Ã¼ber belastungs- und positionsabhÃ¤ngige Schmerzen im Knie links, Ã¼ber der Kniescheibe und lateral sowie Ã¼ber belastungsabhÃ¤ngige Schmerzen des linken oberen Sprunggelenks (OSG) Ã¼ber der Pseudoarthrose am Wadenbein berichtet (Urk. 7/45 S. 1).</w:t>
      </w:r>
    </w:p>
    <w:p>
      <w:r>
        <w:t>Â Â Â Â Â Â Â Â  Ab 14. Oktober 2002 sei die Wiederaufnahme der Arbeit fÃ¼r sechs Wochen zu 50 % und ab anfangs Dezember 2002 zu 100 % vorgesehen (Urk. 7/45 S. 2).</w:t>
      </w:r>
    </w:p>
    <w:p>
      <w:r>
        <w:t>Â Â Â Â Â Â Â Â  In ihrem Bericht vom 3. Februar 2003 empfahlen sie die DurchfÃ¼hrung einer Umschulungsmassnahme, damit der BeschwerdefÃ¼hrer in Zukunft in einer mehr sitzenden, weniger stehenden und gehenden TÃ¤tigkeit arbeiten kÃ¶nne. Aus ihrer Sicht sei er bis zur Nachkontrolle am 15. April 2003 weiterhin zu 50 % arbeitsunfÃ¤hig (Urk. 7/48 S. 2).</w:t>
      </w:r>
    </w:p>
    <w:p>
      <w:r>
        <w:t>Â Â Â Â Â Â Â Â  Am 27. Mai 2003 nannten die Ãrzte der B.___ folgende Diagnosen:</w:t>
      </w:r>
    </w:p>
    <w:p>
      <w:r>
        <w:t>- Restbeschwerden RÃ¼ckfuss links und Restbeschwerden im Bereich der Nagel-Â  eintrittsstelle am Ligamentum patellae Knie links bei</w:t>
      </w:r>
    </w:p>
    <w:p>
      <w:r>
        <w:t>- Status nach Unterschenkelfraktur links und medialer Malleolarfraktur Â Â Â Â Â Â Â Â  rechts 12/00</w:t>
      </w:r>
    </w:p>
    <w:p>
      <w:r>
        <w:t>- Status nach Unterschenkelmarknagelung links und SchraubenosteoÂ Â Â Â Â Â Â Â  synthese Malleolus medialis rechts am 21.12.00</w:t>
      </w:r>
    </w:p>
    <w:p>
      <w:r>
        <w:t>- Status nach Osteosynthese-Materialentfernung links am 10.6.02</w:t>
      </w:r>
    </w:p>
    <w:p>
      <w:r>
        <w:t>- Knick/Senkfuss beidseits</w:t>
      </w:r>
    </w:p>
    <w:p>
      <w:r>
        <w:t>- Pseudoarthrose der distalen Fibula links</w:t>
      </w:r>
    </w:p>
    <w:p>
      <w:r>
        <w:t>Â Â Â Â Â Â Â Â  Sie attestierten dem BeschwerdefÃ¼hrer eine 50%ige ArbeitsunfÃ¤higkeit als Mechaniker und empfahlen wiederum eine Umschulung zu einer mehrheitlich sitzenden und wenig fussbelastenden TÃ¤tigkeit (Urk. 7/56 S. 2).</w:t>
      </w:r>
    </w:p>
    <w:p>
      <w:r>
        <w:t>3.3Â Â Â Â  Dr. med. D.___, FMH Innere Medizin, diagnostizierte am 14. MÃ¤rz 2003 Restbeschwerden am linken RÃ¼ckfuss sowie am Ligamentum patellae des linken Knies bei Status nach Unterschenkelfraktur links sowie dislozierter Malleolarfraktur rechts am 16. Dezember 2000 (Urk. 12/8/1 S. 1 Ziff. A) . Er attestierte dem BeschwerdefÃ¼hrer eine 50%ige ArbeitsfÃ¤higkeit in seiner angestammten TÃ¤tigkeit als Mechaniker und eine 100%ige ArbeitsfÃ¤higkeit in einer leidensangepassten TÃ¤tigkeit (Urk. 12/8/2 S. 2).</w:t>
      </w:r>
    </w:p>
    <w:p>
      <w:r>
        <w:t>3.4Â Â Â Â  Dr. med. C.___, Spezialarzt FMH fÃ¼r Chirurgie, SUVA Kreisarzt-Stellvertreter, diagnostizierte am 15. Juni 2004 bewegungs- und belastungsabhÃ¤ngige Schmerzen links nach Verriegelungsnagelosteosynthese bei Unterschenkelfraktur, einen Status nach Metallentfernung und nach Osteosynthese und Metallentfernung der Malleolarfraktur rechts (Urk. 7/74 S. 2).</w:t>
      </w:r>
    </w:p>
    <w:p>
      <w:r>
        <w:t>Â Â Â Â Â Â Â Â  Der Zustand sei in den letzten Monaten stationÃ¤r geblieben, die subjektiven und objektiven Befunde wÃ¼rden sich decken. Der BeschwerdefÃ¼hrer sei kooperativ und aggraviere nicht bewusst, wobei allerdings die Schmerzschwelle sehr tief sei. Verantwortlich fÃ¼r die Schmerzen seien einerseits die Fibulaarthrose links sowie die leichten OSG-Arthrosen beidseits sowie die Tibia-Valgus-Fehlstellung links, zum Teil auch die SenkfÃ¼sse.</w:t>
      </w:r>
    </w:p>
    <w:p>
      <w:r>
        <w:t>Â Â Â Â Â Â Â Â  Die natÃ¼rliche UnfallkausalitÃ¤t der Verletzungsfolgen sei gegeben.</w:t>
      </w:r>
    </w:p>
    <w:p>
      <w:r>
        <w:t>Â Â Â Â Â Â Â Â  Nicht gÃ¼nstig fÃ¼r den BeschwerdefÃ¼hrer sei hÃ¤ufiges Begehen von Leitern und Treppen sowie das Gehen auf unebenem Boden und das Tragen von schweren Gewichten. Somit ergebe sich eine ganztÃ¤gige zumutbare ArbeitsfÃ¤higkeit fÃ¼r leichte bis mittelschwere, wechselnd belastende TÃ¤tigkeit, wobei die Geh- und Stehdauer eine halbe Stunde nicht Ã¼berschreiten dÃ¼rfe. FÃ¼r sporadische EinsÃ¤tze sei das Heben und Tragen von Gewichten Ã¼ber 25 kg und fÃ¼r hÃ¤ufige EinsÃ¤tze bis 15 kg mÃ¶glich (Urk. 7/74 S. 3).</w:t>
      </w:r>
    </w:p>
    <w:p>
      <w:r>
        <w:rPr>
          <w:b/>
        </w:rPr>
        <w:t>E. 3.5</w:t>
      </w:r>
    </w:p>
    <w:p>
      <w:r>
        <w:t>Aufgrund der medizinischen Akten steht fest, dass der BeschwerdefÃ¼hrer aufgrund des Ereignisses vom 16. Dezember 2000 an Restbeschwerden im RÃ¼ckfuss links und im Bereich der Nageleintrittsstelle am Knie links leidet. Einhellig kamen die Ãrzte zum Schluss, dass dem BeschwerdefÃ¼hrer die angestammte TÃ¤tigkeit als Mechaniker nur noch zu 50 % zugemutet werden kÃ¶nne. Die Ã¤rztlichen Befunde lassen diese Folgerung als nachvollziehbar erscheinen. Fest steht ebenfalls, dass keine unfallfremden Faktoren vorliegen. Insbesondere fÃ¼hrte Dr. C.___ aus, dass die natÃ¼rliche UnfallkausalitÃ¤t der Verletzungsfolgen gegeben sei (Urk. 7/74 S. 3).</w:t>
      </w:r>
    </w:p>
    <w:p>
      <w:r>
        <w:t>Â Â Â Â Â Â Â Â  Die IV-Stelle hat zur BegrÃ¼ndung ihrer VerfÃ¼gung vom 30. Oktober 2001 festgehalten, aus medizinischer Sicht sei dem BeschwerdefÃ¼hrer eine vorwiegend sitzende TÃ¤tigkeit zu 100 % zumutbar (Urk. 12/16 S. 2, Urk. 12/8). Die Festsetzung der ArbeitsfÃ¤higkeit auf 100 % erfolgte gestÃ¼tzt auf den Bericht des behandelnden Arztes Dr. D.___, der dem BeschwerdefÃ¼hrer am 14. MÃ¤rz 2003 in einer leidensangepassten TÃ¤tigkeit eine 100%ige ArbeitsfÃ¤higkeit attestierte (Urk. 12/8/2 S. 2).</w:t>
      </w:r>
    </w:p>
    <w:p>
      <w:r>
        <w:t>Â Â Â Â Â Â Â Â  Die Zumutbarkeitsbeurteilung von Dr. D.___ deckt sich mit jener von Dr. C.___. Beide Ãrzte gingen von einer 100%igen ArbeitsfÃ¤higkeit in einer leidensangepassten TÃ¤tigkeit aus. Ihre Berichte erfÃ¼llen alle Anforderungen, welche die Rechtsprechung hinsichtlich SchlÃ¼ssigkeit und Beweiskraft verlangt.</w:t>
      </w:r>
    </w:p>
    <w:p>
      <w:r>
        <w:t>Â Â Â Â Â Â Â Â  Aus dem angeblichen Inhalt des Telefonats vom 7. Juni 2005 zwischen dem Vertreter des BeschwerdefÃ¼hrers und Dr. D.___ kann der BeschwerdefÃ¼hrer nichts zu seinen Gunsten ableiten. Dr. D.___ attestierte dem BeschwerdefÃ¼hrer in einer leidensangepassten TÃ¤tigkeit unmissverstÃ¤ndlich eine 100%ige ArbeitsfÃ¤higkeit. Unerheblich ist daher, zu wie viel Prozent der BeschwerdefÃ¼hrer in jener Zeit als Mechaniker gearbeitet hat. Selbst wenn Dr. D.___ von einer erheblichen Behinderung ausging, ist nicht einzusehen, weshalb der BeschwerdefÃ¼hrer in einer leidensangepassten TÃ¤tigkeit nicht 100 % arbeitsfÃ¤hig sein soll. Immerhin ist diese TÃ¤tigkeit seinen EinschrÃ¤nkungen und Leiden angepasst. Zudem ist aktenkundig, dass sich Dr. D.___ eingehend mit den physischen Funktionen des BeschwerdefÃ¼hrers auseinander gesetzt hat (vgl. Urk. 12/8/1-2). Damit untermauert aber Dr. D.___ die schlÃ¼ssigen und auf allseitige Untersuchungen beruhenden Erkenntnisse von Dr. C.___.</w:t>
      </w:r>
    </w:p>
    <w:p>
      <w:r>
        <w:t>Â Â Â Â Â Â Â Â  Der Einwand des BeschwerdefÃ¼hrers, Dr. C.___ habe seine Beschwerden nicht berÃ¼cksichtigt, findet keine StÃ¼tze. Der Bericht von Dr. C.___ erscheint sorgfÃ¤ltig erstellt. Es findet sich darin eine Anamnese und es werden sowohl die subjektiven Beschwerden des BeschwerdefÃ¼hrers als auch die objektiven Befunde dargestellt. Es werden klare Diagnosen genannt, und es erfolgt auch eine Beurteilung der ArbeitsfÃ¤higkeit. Sein Bericht basiert auf eingehendem Aktenstudium und einer ambulanten Untersuchung am 15. Juni 2004.</w:t>
      </w:r>
    </w:p>
    <w:p>
      <w:r>
        <w:t>Â Â Â Â Â Â Â Â  Wohl attestierten die Ãrzte der B.___ dem BeschwerdefÃ¼hrer am 3. Februar 2003 eine 50%ige ArbeitsfÃ¤higkeit. Zu berÃ¼cksichtigen ist dabei jedoch, dass sie sich zur ArbeitsfÃ¤higkeit in einer leidensangepassten TÃ¤tigkeit nicht Ã¤usserten, sondern die DurchfÃ¼hrung von Umschulungsmassnahmen empfahlen, damit der BeschwerdefÃ¼hrer in Zukunft in einer mehr sitzenden, weniger stehenden und gehenden TÃ¤tigkeit arbeiten kÃ¶nne. Folglich gingen sie von einer Steigerung der ArbeitsfÃ¤higkeit in einer leidensangepassten TÃ¤tigkeit aus. Dies ergibt sich auch aus dem Bericht vom 27. Mai 2003, wo sie dem BeschwerdefÃ¼hrer ausdrÃ¼cklich in der angestammten TÃ¤tigkeit als Mechaniker eine 50%ige ArbeitsfÃ¤higkeit attestierten und wiederum eine Umschulung zu einer mehrheitlich sitzenden TÃ¤tigkeit empfahlen. Hinzu kommt, dass sie am 14. Oktober 2002 explizit von einer Steigerung der ArbeitsfÃ¤higkeit ausgingen. An der Beweiskraft der nachvollziehbaren Beurteilung von Dr. C.___ vermag die von den Ãrzten der B.___ bescheinigte ArbeitsfÃ¤higkeit somit nichts zu Ã¤ndern. Entscheidend ist, dass der Bericht der Ãrzte der B.___ keine erheblichen Gesichtspunkte enthÃ¤lt, welche von Dr. C.___ nicht ebenfalls berÃ¼cksichtigt worden sind. Die abweichenden EinschÃ¤tzungen der ArbeitsfÃ¤higkeit genÃ¼gen nicht, um die Zumutbarkeitsbeurteilungen von Dr. C.___ in Zweifel zu ziehen.</w:t>
      </w:r>
    </w:p>
    <w:p>
      <w:r>
        <w:t>Â Â Â Â Â Â Â Â  Damit ist als erstellt zu betrachten, dass der BeschwerdefÃ¼hrer in einer leidensangepassten TÃ¤tigkeit zu 100 % arbeitsfÃ¤hig ist. Weitere AbklÃ¤rungen erÃ¼brigen sich folglich, da hievon keine neuen Erkenntnisse zu erwarten sind. Insbesondere ist die Beurteilung der ArbeitsfÃ¤higkeit hinreichend klar und bedarf keiner beweismÃ¤ssigen Weiterung.</w:t>
      </w:r>
    </w:p>
    <w:p>
      <w:r>
        <w:rPr>
          <w:b/>
        </w:rPr>
        <w:t>E. 4</w:t>
      </w:r>
    </w:p>
    <w:p>
      <w:r>
        <w:t>4.1Â Â Â Â  Wie in Erw. 2.2 ausgefÃ¼hrt ist der InvaliditÃ¤tsbegriff fÃ¼r alle Sozialversiche-rungszweige grundsÃ¤tzlich gleich. Es stellt sich demzufolge die Frage, ob im vorliegenden Fall, die Unfallversicherung an den von der EidgenÃ¶ssischen Invalidenversicherung im Rentenverfahren errechneten InvaliditÃ¤tsgrad von 18 % gebunden ist.</w:t>
      </w:r>
    </w:p>
    <w:p>
      <w:r>
        <w:t>Â Â Â Â Â Â Â Â  In diesem Zusammenhang hat das EidgenÃ¶ssische Versicherungsgericht im Urteil vom 2. September 2005 (I 55/05 und U 26/05 = BGE 131 V 362) in Erw. 2.2.1 Folgendes ausgefÃ¼hrt:</w:t>
      </w:r>
    </w:p>
    <w:p>
      <w:r>
        <w:t>Â Â Â Â Â Â Â Â ÂIn BGE 126 V 288 hat das EidgenÃ¶ssische Versicherungsgericht die Tragweite der Bindungswirkung rechtskrÃ¤ftiger InvaliditÃ¤tsschÃ¤tzungen der Invalidenversicherung oder der Unfallversicherung fÃ¼r den jeweils anderen Sozialversicherungsbereich umschrieben. Diese Rechtsprechung hat auch nach In-Kraft-Treten des ATSG weiterhin GÃ¼ltigkeit (Urteil K. vom 28. Dezember 2004 [I 725/03] Erw. 1.3 und 1.4; vgl. auch in BGE 131 V 120 nicht publizierte Erw. 2.1.2 des Urteils V. vom 22. April 2005 [I 439/03]). In BGE 126 V 293 f. Erw. 2d hat das Gericht Bezug nehmend auf Art. 129 Abs. 1 UVV (in Kraft gestanden bis 31. Dezember 2002) auch entschieden, dass ein SozialversicherungstrÃ¤ger sich die VerfÃ¼gung oder den Einspracheentscheid des andern grundsÃ¤tzlich entgegenhalten lassen muss, wenn ihm der Verwaltungsakt ordnungsgemÃ¤ss erÃ¶ffnet worden ist und er von seinem Beschwerderecht nicht Gebrauch gemacht hat.</w:t>
      </w:r>
    </w:p>
    <w:p>
      <w:r>
        <w:t>Â Â Â Â Â Â Â Â Â Â  In AHI 2004 S. 181 hat das EidgenÃ¶ssische Versicherungsgericht BGE 126 V 288 in zweifacher Hinsicht prÃ¤zisiert. Es hat festgestellt, dass die InvaliditÃ¤tsschÃ¤tzung der Invalidenversicherung gegenÃ¼ber dem Unfallversicherer mangels rechtserheblichen ÂBerÃ¼hrtseinsÂ im Sinne von Art. 129 Abs. 1 der Verordnung Ã¼ber die Unfallversicherung (UVV) keinerlei Bindungswirkung entfaltet, auch nicht im Sinne einer Richtigkeitsvermutung (Erw. 4.3 und 4.4). Im Weitern hat es erkannt, dass das Gesetz (Art. 75 Abs. 1 und Art. 76 Abs. 1 lit. e IVV sowie Art. 104 UVG und Art. 129 UVV) dem Unfallversicherer kein Beschwerderecht gegen VerfÃ¼gungen von IV-Stellen in Bezug auf Rentenanspruch und InvaliditÃ¤tsgrad einrÃ¤umt, weshalb er sich diese Verwaltungsakte auch nicht entgegenhalten lassen muss (Erw. 5.2; bestÃ¤tigt in den Urteilen G. vom 18. Januar 2005 [I 293/04] Erw. 1.3, B. vom 2. November 2004 [I 95/02] Erw. 3 und M. vom 17. August 2004 [I 106/03] Erw. 4).Â</w:t>
      </w:r>
    </w:p>
    <w:p>
      <w:r>
        <w:t>Â Â Â Â Â Â Â Â  Daraus folgt ohne weiteres, dass vorliegend keine Bindung an die von der IV-Stelle vorgenommene Bemessung des InvaliditÃ¤tsgrads besteht. Dieser ist folglich frei zu prÃ¼fen.</w:t>
      </w:r>
    </w:p>
    <w:p>
      <w:r>
        <w:t>Â Â Â Â Â Â Â Â</w:t>
      </w:r>
    </w:p>
    <w:p>
      <w:r>
        <w:t>4.2Â Â Â Â  FÃ¼r die Festsetzung des Invalideneinkommens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und erscheint zudem das Einkommen aus der Arbeitsleistung als angemessen und nicht als Soziallohn,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entweder TabellenlÃ¶hne gemÃ¤ss den vom Bundesamt fÃ¼r Statistik periodisch herausgegebenen Lohnstrukturerhebungen (LSE) oder die so genannten DAP-Zahlen herangezogen werden (BGE 129 V 475 Erw. 4.2.1 mit Hinweisen).</w:t>
      </w:r>
    </w:p>
    <w:p>
      <w:r>
        <w:t>4.3Â Â Â Â  Die SUVA stellte zur Ermittlung des dem BeschwerdefÃ¼hrer noch zumutbaren Verdienstes auf fÃ¼nf Dokumentationen von ArbeitsplÃ¤tzen (DAP) ab, die Angaben Ã¼ber die Gesamtzahl der aufgrund der gegebenen Behinderung in Frage kommenden dokumentierten ArbeitsplÃ¤tze, Ã¼ber den HÃ¶chst- und Tiefstlohn sowie Ã¼ber den Durchschnittslohn der dem jeweils verwendeten Behinderungsprofil entsprechenden Gruppe enthalten, und legte es auf Fr. 47'200.-- fest. Die fÃ¼r die InvaliditÃ¤tsbemessung herangezogenen DAP-Profile sind somit reprÃ¤sentativ (vgl. dazu insbesondere BGE 129 V 472 ff.). Ein Vergleich der einzelnen Profile mit den EinschrÃ¤nkungen aus medizinischer Sicht zeigt, dass das Erfordernis einer leichten bis mittelschweren, wechselnd belastenden TÃ¤tigkeit, die eine Geh- oder Stehdauer von einer halben Stunde nicht Ã¼berschreitet, erfÃ¼llt ist, weshalb auf das Einkommen von Fr. 47'200.-- abgestellt werden kann.</w:t>
      </w:r>
    </w:p>
    <w:p>
      <w:r>
        <w:t>4.4Â Â Â Â  Aus den Akten ergibt sich, dass die IV-Stelle (und die Beschwerdegegnerin im Sinne einer PlausibilitÃ¤tsprÃ¼fung) das Invalideneinkommen gestÃ¼tzt auf die vom Bundesamt fÃ¼r Statistik ermittelten Werte der Schweizerischen Lohnstrukturerhebung (LSE) berechnet hat. Der Zentralwert fÃ¼r die mit einfachen und repetitiven Aufgaben beschÃ¤ftigten MÃ¤nner betrug im Jahre 2004 im privaten Sektor Fr. 4'588.-- (LSE 2004, Tabelle TA 1 S. 13), was bei einer betriebsÃ¼blichen durchschnittlichen Arbeitszeit von 41,6 Stunden pro Woche (Die Volkswirtschaft, 7/8-2006 S. 90 Tabelle B9.2) ein Gehalt von rund Fr. 4'772.-- pro Monat beziehungsweise ein solches von Fr. 57'258.-- pro Jahr ergibt.</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Angesichts des Umstandes, dass dem BeschwerdefÃ¼hrer aufgrund seiner Behinderung sÃ¤mtliche schweren TÃ¤tigkeiten mit einer Steh- und Gedauer von Ã¼ber einer halben Stunde nicht mehr mÃ¶glich sind, erscheint ein Abzug von 15 % als angemessen, was ein Invalideneinkommen von Fr. 48'670.-- ergibt. Die von der Beschwerdegegnerin anhand konkreter VerweistÃ¤tigkeiten bezifferten Einkommen gemÃ¤ss DAP Nr. 7838, 5485, 3092, 5625, 3851 stimmen damit im wesentlichen Ã¼berein. Es kann somit zugunsten des BeschwerdefÃ¼hrers auf den DAP- Durchschnittswert von Fr. 47'200.-- als massgebendes Invalideneinkommen abgestellt werden.</w:t>
      </w:r>
    </w:p>
    <w:p>
      <w:r>
        <w:rPr>
          <w:b/>
        </w:rPr>
        <w:t>E. 4.5</w:t>
      </w:r>
    </w:p>
    <w:p>
      <w:r>
        <w:t>Ausgehend von einem zu Recht nicht in Zweifel gezogenen Valideneinkommen von Fr. 58'110.-- (vgl. Urk. 7/85) und einem Invalideneinkommen von Fr. 47'200.-- ergibt sich ein InvaliditÃ¤tsgrad von rund 19 %, der sich im Ã¼brigen mit dem von der IV-Stelle errechneten InvaliditÃ¤tsgrad von 18 % fast deckt.</w:t>
      </w:r>
    </w:p>
    <w:p>
      <w:r>
        <w:t>Â Â Â Â Â Â Â Â  Daraus folgt ohne weiteres, dass der im angefochtene Einspracheentscheid festgelegte InvaliditÃ¤tsgrad von 19 % zu schÃ¼tzen ist und sich die Beschwerde als unbegrÃ¼ndet erweist.</w:t>
      </w:r>
    </w:p>
    <w:p>
      <w:r>
        <w:t>Das Gericht erkennt:</w:t>
      </w:r>
    </w:p>
    <w:p>
      <w:r>
        <w:t>1.Â Â Â Â Â Â Â Â  Die Beschwerde wird abgewiesen.</w:t>
      </w:r>
    </w:p>
    <w:p>
      <w:r>
        <w:t>2.Â Â Â Â Â Â Â Â  Das Verfahren ist kostenlos.</w:t>
      </w:r>
    </w:p>
    <w:p>
      <w:r>
        <w:t>3. Zustellung gegen Empfangsschein an:</w:t>
      </w:r>
    </w:p>
    <w:p>
      <w:r>
        <w:t>- Rechtsanwalt Markus Bischoff</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