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UV.2005.00039 vom 7. November 2005</w:t>
      </w:r>
    </w:p>
    <w:p>
      <w:r>
        <w:t>ZH Sozialversicherungsgericht, 2005-11-07, DE</w:t>
      </w:r>
    </w:p>
    <w:p>
      <w:r>
        <w:rPr>
          <w:b/>
        </w:rPr>
        <w:t xml:space="preserve">Quelle: </w:t>
      </w:r>
      <w:r>
        <w:t>https://mcp.opencaselaw.ch/entscheid/zh_sozialversicherungsgericht_UV.2005.00039</w:t>
      </w:r>
    </w:p>
    <w:p>
      <w:r>
        <w:t>FR: ZH_SOZIALVERSICHERUNGSGERICHT UV.2005.00039 du 7 novembre 2005</w:t>
      </w:r>
    </w:p>
    <w:p>
      <w:r>
        <w:t>IT: ZH_SOZIALVERSICHERUNGSGERICHT UV.2005.00039 del 7 novembre 2005</w:t>
      </w:r>
    </w:p>
    <w:p>
      <w:pPr>
        <w:pStyle w:val="Heading2"/>
      </w:pPr>
      <w:r>
        <w:t>Erwägungen</w:t>
      </w:r>
    </w:p>
    <w:p>
      <w:r>
        <w:rPr>
          <w:b/>
        </w:rPr>
        <w:t>E. 2</w:t>
      </w:r>
    </w:p>
    <w:p>
      <w:r>
        <w:t>Unter EntschÃ¤digungsfolgen zu Lasten der Beschwerdegegnerin.Â</w:t>
      </w:r>
    </w:p>
    <w:p>
      <w:r>
        <w:t>Â Â Â Â Â Â Â Â  In der Beschwerdeantwort vom 16. MÃ¤rz 2005 beantragte die SUVA, vertreten durch Rechtsanwalt Dr. Beat Frischkopf, Sursee, die Abweisung der Beschwerde (Urk. 6 S. 2), worauf der Versicherte mit Replik vom 30. MÃ¤rz 2005 an seinem beschwerdeweise gestellten Rechtsbegehren festhielt (Urk. 15 S. 2). Mit Duplik vom 2. Mai 2005 hielt die SUVA an ihrem Antrag auf Abweisung der Beschwerde fest (Urk. 18 S. 2), worauf der Schriftenwechsel mit VerfÃ¼gung vom 9. Mai 2005 als geschlossen erklÃ¤rt wurde (Urk. 19).</w:t>
      </w:r>
    </w:p>
    <w:p>
      <w:r>
        <w:t>Das Gericht zieht in ErwÃ¤gung:</w:t>
      </w:r>
    </w:p>
    <w:p>
      <w:r>
        <w:t>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Hat die versicherte Person den Unfall bei AusÃ¼bung eines Verbrechens oder Vergehens herbeigefÃ¼hrt, so kÃ¶nnen gemÃ¤ss Art. 37 Abs. 3 des Bundesgesetzes Ã¼ber die Unfallversicherung (UVG) in der bis 31. Dezember 2002 gÃ¼ltig gewesenen Fassung die Geldleistungen gekÃ¼rzt oder in besonders schweren FÃ¤llen verweigert werden. Hat die versicherte Person im Zeitpunkt des Unfalles fÃ¼r AngehÃ¶rige zu sorgen, denen bei ihrem Tode Hinterlassenenrenten zustÃ¼nden, oder stirbt sie an den Unfallfolgen, so werden Geldleistungen hÃ¶chstens um die HÃ¤lfte gekÃ¼rzt.</w:t>
      </w:r>
    </w:p>
    <w:p>
      <w:r>
        <w:t>1.3Â Â Â Â  Art. 37 Abs. 3 UVG setzt die ErfÃ¼llung eines objektiven Straftatbestandes und nicht notwendigerweise Absicht oder GrobfahrlÃ¤ssigkeit voraus. Der Unfall muss nicht zwingend schuldhaft herbeigefÃ¼hrt worden sein; es genÃ¼gt, wenn er bei der Begehung eines Verbrechens oder Vergehens herbeigefÃ¼hrt wurde (BGE 120 V 227 Erw. 2c). Die Begriffe ÂVerbrechen" und ÂVergehen" sind im strafrechtlichen Sinne aufzufassen. Als Vergehen gelten nach Art. 9 Abs. 2 StGB die mit GefÃ¤ngnis als HÃ¶chststrafe bedrohten strafbaren Handlungen. Soweit es das Gesetz vorsieht, gehÃ¶ren dazu auch fahrlÃ¤ssig begangene Handlungen (Art. 18 StGB). Kein Vergehen liegt vor, wenn die strafbare Handlung im Zustand der UnzurechnungsfÃ¤higkeit begangen wurde (Art. 11 StGB). Wurde der Zustand der UnzurechnungsfÃ¤higkeit vom Handelnden selbst herbeigefÃ¼hrt, um in diesem Zustand eine strafbare Tat auszufÃ¼hren, oder hat der Handelnde die UnzurechnungsfÃ¤higkeit insofern fahrlÃ¤ssig herbeigefÃ¼hrt, als er die ErfÃ¼llung eines Straftatbestandes voraussehen konnte oder musste, findet Art. 11 StGB nicht Anwendung (Art. 12 StGB). Die Leistungen sind alsdann trotz UnzurechnungsfÃ¤higkeit im Zeitpunkt der Tat zu kÃ¼rzen oder zu verweigern (BGE 129 V 356 f. Erw. 2.1, 120 V 227 Erw. 2d).</w:t>
      </w:r>
    </w:p>
    <w:p>
      <w:r>
        <w:t>2.Â Â Â Â Â Â</w:t>
      </w:r>
    </w:p>
    <w:p>
      <w:r>
        <w:t>2.1Â Â Â Â  Laut dem Strafbefehl der Bezirksanwaltschaft BÃ¼lach vom 3. Februar 2003 (Urk. 7/19 S. 2 f.) und dem Rapport der Kantonspolizei ZÃ¼rich vom 26. Oktober 2002 (Urk. 7/15/2 S. 5) hat sich der Unfall ereignet, als der BeschwerdefÃ¼hrer am Samstag, 26. Oktober 2002, 5.10 Uhr, als Lenker eines nicht Ã¼ber eine vorschriftsgemÃ¤sse Auspuffanlage versehenen Personenwagens in angetrunkenem Zustand, unangegurtet und mit Ã¼berhÃ¶hter Geschwindigkeit kurz vor der Trennung von Fahrstreifen die Fahrspur wechselte und in der Folge mit dem Fahrzeug gegen einen die Fahrstreifen trennenden Erdwall fuhr, worauf sich das Fahrzeug Ã¼berschlug und auf dem Dach zu liegen kam.</w:t>
      </w:r>
    </w:p>
    <w:p>
      <w:r>
        <w:t>2.2Â Â Â Â  Der BeschwerdefÃ¼hrer hat damit unter anderem die StraftatbestÃ¤nde von Art. 91 Abs. 1 SVG und Art. 90 Ziff. 1 SVG erfÃ¼llt. Art. 91 SVG (Fahren in angetrunkenem Zustand) sah in der bis 31. Dezember 2002 gÃ¼ltig gewesenen Fassung als Strafe GefÃ¤ngnis oder Busse vor. Nach der Legaldefinition von Art. 9 Abs. 2 StGB, wonach Vergehen die mit GefÃ¤ngnis als HÃ¶chststrafe bedrohten Handlungen sind, handelt es sich dabei um ein Vergehen, wobei strafbar nicht nur die vorsÃ¤tzliche, sondern auch die fahrlÃ¤ssig Tatbegehung ist (Art. 100 Ziff. 1 SVG).</w:t>
      </w:r>
    </w:p>
    <w:p>
      <w:r>
        <w:t>2.3Â Â Â Â  Der BeschwerdefÃ¼hrer hat den Unfall demnach im Sinne von Art. 37 Abs. 3 UVG bei der AusÃ¼bung eines Vergehens herbeigefÃ¼hrt.</w:t>
      </w:r>
    </w:p>
    <w:p>
      <w:r>
        <w:rPr>
          <w:b/>
        </w:rPr>
        <w:t>E. 3</w:t>
      </w:r>
    </w:p>
    <w:p>
      <w:r>
        <w:t>3.1Â Â Â Â  Zu prÃ¼fen ist die ZurechnungsfÃ¤higkeit des BeschwerdefÃ¼hres zum Tatzeitpunkt. GemÃ¤ss Art. 11 StGB (verminderte ZurechnungsfÃ¤higkeit) kann das Gericht die Strafe nach freiem Ermessen mildern, wenn der TÃ¤ter zur Zeit der Tat in seiner geistigen Gesundheit oder in seinem Bewusstsein beeintrÃ¤chtigt oder geistig mangelhaft entwickelt war, so dass die FÃ¤higkeit, das Unrecht seiner Tat einzusehen oder gemÃ¤ss seiner Einsicht in das Unrecht der Tat zu handeln, herabgesetzt war.</w:t>
      </w:r>
    </w:p>
    <w:p>
      <w:r>
        <w:t>3.2Â Â Â Â  Nach der Rechtsprechung liegt bei einer Blutalkoholkonzentration von unter 2 Â in der Regel keine BeeintrÃ¤chtigung der SchuldfÃ¤higkeit vor, wÃ¤hrend bei einer solchen von 3 Â und darÃ¼ber meist SchuldunfÃ¤higkeit gegeben ist. FÃ¼r den Bereich zwischen 2 Â und 3 Â besteht im Regelfall die Vermutung fÃ¼r eine Verminderung der ZurechnungsfÃ¤higkeit (BGE 129 V 359 Erw. 3.3 mit Hinweis auf BGE 122 IV 50 Erw. 1b). Ausschlaggebend fÃ¼r die BeeintrÃ¤chtigung von Einsichts- und SteuerungsfÃ¤higkeit ist jedoch der psychopathologische Zustand (der Rausch) und nicht dessen Ursache, die Alkoholisierung, die sich in der Blutalkoholkonzentration widerspiegelt. Konkrete Feststellungen Ã¼ber Alkoholisierung oder NÃ¼chternheit haben daher prinzipiell den Vorrang gegenÃ¼ber Blutalkoholwerten (BGE 129 V 359 Erw. 3.3 mit Hinweisen auf BGE 122 IV 50 Erw. 1b und Urteil des Bundesgerichts vom 7. Mai 2002, 6S.17/2002).</w:t>
      </w:r>
    </w:p>
    <w:p>
      <w:r>
        <w:t>3.3Â Â Â Â  Laut dem Bericht zur Blutalkoholanalyse der Ãrzte des Instituts fÃ¼r Rechtsmedizin der UniversitÃ¤t ZÃ¼rich vom 1. November 2002 lag die rÃ¼ckgerechnete Blutalkoholkonzentration zum Tatzeitpunkt vom 26. Oktober 2002, 5.10 Uhr, zwischen einem Minimalwert von 1,27 Â und einem Maximalwert von 1,72 Â (Urk. 7/8/3), was einen Mittelwert von 1,49 Â ergibt. Nach der obenerwÃ¤hnten Rechtspraxis entspricht eine Blutalkoholkonzentration zwischen 1,27 Â und 1,72 Â einer leichten Trunkenheit, die in der Regel nicht mit einer Verminderung der ZurechnungsfÃ¤higkeit gleichzusetzen ist. Anhaltspunkte, welche ausnahmsweise ein Abweichen von dieser Regel rechtfertigten und eine BeeintrÃ¤chtigung der SchuldfÃ¤higkeit annehmen liessen, sind in den Akten nicht zu ersehen und werden im Ãbrigen vom BeschwerdefÃ¼hrer auch nicht geltend gemacht (vgl. Urk. 1). Es ist daher davon auszugehen, dass es dem BeschwerdefÃ¼hrer trotz leichter Trunkenheit weder an EinsichtsfÃ¤higkeit in das Unrecht der Tat noch an der FÃ¤higkeit, entsprechend dieser Einsicht zu handeln, fehlte, weshalb eine verminderte ZurechnungsfÃ¤higkeit oder eine UnzurechnungsfÃ¤higkeit zum Tatzeitpunkt nicht ausgewiesen ist. Die Beschwerdegegnerin war daher berechtigt, die Geldleistungen gemÃ¤ss Art. 37 Abs. 3 UVG zu kÃ¼rzen.</w:t>
      </w:r>
    </w:p>
    <w:p>
      <w:r>
        <w:rPr>
          <w:b/>
        </w:rPr>
        <w:t>E. 4</w:t>
      </w:r>
    </w:p>
    <w:p>
      <w:r>
        <w:t>4.1Â Â Â Â  Zu prÃ¼fen bleibt die Angemessenheit der LeistungskÃ¼rzung von 40 %. Die Beschwerdegegnerin berÃ¼cksichtigte bei der Bemessung der LeistungskÃ¼rzung die Empfehlungen der Ad-hoc-Kommission der Schadenleiter der Unfallversicherer (revidierte Fassung vom 28. April 1999), worin unter Ziff. 3 das Folgende ausgefÃ¼hrt wird (Urk. 12 S. 2):</w:t>
      </w:r>
    </w:p>
    <w:p>
      <w:r>
        <w:t>Â (...)Bei einer Alkoholisierung von 0,8 - 1,19 Promille wird eine KÃ¼rzung von 20 % verfÃ¼gt. Alsdann wird der Satz bis auf 70 % erhÃ¶ht (wenn die Alkoholisierung 2,8 Promille und mehr betrÃ¤gt). Liegen erschwerende UmstÃ¤nde (z.B. Geschwindigkeitsexzess, vergebliches Warnen Dritter, RÃ¼ckfall) vor, so werden die KÃ¼rzungssÃ¤tze von 20 - 40 % um 10 % erhÃ¶ht. Die Geldleistungen werden verweigert bei 2 Promille und erschwerenden UmstÃ¤nden. (...)Â</w:t>
      </w:r>
    </w:p>
    <w:p>
      <w:r>
        <w:t>4.2Â Â Â Â  GemÃ¤ss der Rechtsprechung des EVG stellen die Empfehlungen der Ad-hoc-Kommission der Schadenleiter der Unfallversicherer zwar keine Weisungen an die DurchfÃ¼hrungsorgane der obligatorischen Unfallversicherung dar und sind insbesondere fÃ¼r die Gerichte nicht verbindlich; sie sind jedoch geeignet, eine rechtsgleiche Praxis sicherzustellen, weshalb sie bei der Festsetzung der LeistungskÃ¼rzung zu berÃ¼cksichtigen sind (BGE 129 V 361 Erw. 4, 120 V 231 Erw. 4c).</w:t>
      </w:r>
    </w:p>
    <w:p>
      <w:r>
        <w:t>4.3Â Â Â Â  Die beim BeschwerdefÃ¼hrer festgestellte Blutalkoholkonzentration von 1,27 Â bis 1,72 Â entspricht nach der Verwaltungspraxis einem KÃ¼rzungssatz von 30 %. Fraglich ist, ob unter BerÃ¼cksichtigung der besonderen UmstÃ¤nde des konkreten Falles davon abzuweichen ist. Der BeschwerdefÃ¼hrer stellt die BerÃ¼cksichtigung der Empfehlungen der Ad-hoc-Kommission der Schadenleiter der Unfallversicherer nicht grundsÃ¤tzlich in Frage, hÃ¤lt jedoch nur eine KÃ¼rzung von 30 % fÃ¼r angemessen (Urk. 1 S. 2).Â</w:t>
      </w:r>
    </w:p>
    <w:p>
      <w:r>
        <w:t>4.4Â Â Â Â  Aus den Akten ist ersichtlich, dass der BeschwerdefÃ¼hrer nicht nur ein Fahrzeug in angetrunkenem Zustand lenkte, sondern dass er zum Unfallzeitpunkt auf einer Strecke, welche mit einer zulÃ¤ssigen HÃ¶chstgeschwindigkeit von 100 Kilometer in der Stunde signalisiert war, mit einer Geschwindigkeit von 120 Kilometer in der Stunde fuhr. Sodann trug der BeschwerdefÃ¼hrer zum Unfallzeitpunkt die Sicherheitsgurten nicht. Schliesslich verfÃ¼gte das vom BeschwerdefÃ¼hrer gelenkte Fahrzeug nicht Ã¼ber eine vorschriftsgemÃ¤sse Auspuffanlage und befand sich daher nicht in betriebssicherem Zustand (Urk. 7/19 S. 3). Sowohl das Fahren mit Ã¼bersetzter Geschwindigkeit als auch das Unterlassen des Tragens von Sicherheitsgurten stellen das Verschulden des BeschwerdefÃ¼hrers qualifizierende UmstÃ¤nde dar, welche eine ErhÃ¶hung der LeistungskÃ¼rzung rechtfertigen, wenn zwischen diesen UmstÃ¤nden und dem Unfallereignis oder seinen Folgen ein adÃ¤quater Kausalzusammenhang besteht (vgl. BGE 118 V 307 Erw. 2c, 109 V 151 Erw. 1; RKUV 1986 Nr. U 9 S. 347 Erw. 2). Dazu mÃ¼ssten diese geeignet sein, das Unfallrisiko zu erhÃ¶hen.</w:t>
      </w:r>
    </w:p>
    <w:p>
      <w:r>
        <w:t>4.5Â Â Â Â  Richtig angelegte Sicherheitsgurten verhindern, dass angegurtete Personen bei einer starken Negativbeschleunigung vom Sitz gehoben und mit dem Kopf gegen die Windschutzscheibe und das Armaturenbrett geschleudert werden. Dadurch lassen sich Verletzungen entweder Ã¼berhaupt vermeiden, oder die Verletzungen fallen geringer aus als beim Nichttragen der Gurten. Dies gilt praktisch fÃ¼r alle Unfallsituationen, insbesondere aber fÃ¼r Frontalkollisionen sowie fÃ¼r Seitenkollisionen und ÃberschlÃ¤ge. Ein adÃ¤quater Kausalzusammenhang zwischen dem Nichttragen der Gurten und den erlittenen Unfallfolgen ist demnach grundsÃ¤tzlich als gegeben zu betrachten, es sei denn, auf Grund besonderer UmstÃ¤nde sei das Gegenteil anzunehmen (BGE 109 V 153 Erw. 3b). Gleiches gilt auch in Bezug auf den adÃ¤quaten Kausalzusammenhang zwischen dem Fahren mit Ã¼bersetzter Geschwindigkeit und den Unfallfolgen.</w:t>
      </w:r>
    </w:p>
    <w:p>
      <w:r>
        <w:t>4.6Â Â Â Â  Nach Gesagten handelt es sich beim Nichttragen der Sicherheitsgurten und dem Fahren mit Ã¼bersetzter Geschwindigkeit um verschuldenserhÃ¶hende und erschwerende UmstÃ¤nde im Sinne der Empfehlungen der Ad-hoc-Kommission der Schadenleiter der Unfallversicherer. In WÃ¼rdigung der gesamten UmstÃ¤nde ist demnach eine ErhÃ¶hung der KÃ¼rzung um 10 % gerechtfertigt.</w:t>
      </w:r>
    </w:p>
    <w:p>
      <w:r>
        <w:t>5.Â Â Â Â Â Â  Nach Gesagtem ist somit nicht zu beanstanden, dass die Beschwerdegegnerin mit VerfÃ¼gung vom 30. Januar 2004 (Urk. 7/20) und mit dem diese bestÃ¤tigenden Einsprachentscheid vom 3. Februar 2005 (Urk. 2) die Geldleistungen fÃ¼r die Folgen des Unfalls vom 26. Oktober 2002 um 40 % kÃ¼rzte. Demnach ist die gegen den angefochtenen Einspracheentscheid vom 3. Februar 2005 erhobene Beschwerde daher abzuweisen.</w:t>
      </w:r>
    </w:p>
    <w:p>
      <w:r>
        <w:t>Das Gericht erkennt:</w:t>
      </w:r>
    </w:p>
    <w:p>
      <w:r>
        <w:t>1.Â Â Â Â Â Â Â Â  Die Beschwerde wird abgewiesen.</w:t>
      </w:r>
    </w:p>
    <w:p>
      <w:r>
        <w:t>2.Â Â Â Â Â Â Â Â  Das Verfahren ist kostenlos.</w:t>
      </w:r>
    </w:p>
    <w:p>
      <w:r>
        <w:t>3. Zustellung gegen Empfangsschein an:</w:t>
      </w:r>
    </w:p>
    <w:p>
      <w:r>
        <w:t>- DAS Rechtsschutz-Versicherungs-AG</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