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UV.2005.00022 vom 5. April 2005</w:t>
      </w:r>
    </w:p>
    <w:p>
      <w:r>
        <w:t>ZH Sozialversicherungsgericht, 2005-04-05, DE</w:t>
      </w:r>
    </w:p>
    <w:p>
      <w:r>
        <w:rPr>
          <w:b/>
        </w:rPr>
        <w:t xml:space="preserve">Quelle: </w:t>
      </w:r>
      <w:r>
        <w:t>https://mcp.opencaselaw.ch/entscheid/zh_sozialversicherungsgericht_UV.2005.00022</w:t>
      </w:r>
    </w:p>
    <w:p>
      <w:r>
        <w:t>FR: ZH_SOZIALVERSICHERUNGSGERICHT UV.2005.00022 du 5 avril 2005</w:t>
      </w:r>
    </w:p>
    <w:p>
      <w:r>
        <w:t>IT: ZH_SOZIALVERSICHERUNGSGERICHT UV.2005.00022 del 5 aprile 2005</w:t>
      </w:r>
    </w:p>
    <w:p>
      <w:pPr>
        <w:pStyle w:val="Heading2"/>
      </w:pPr>
      <w:r>
        <w:t>Erwägungen</w:t>
      </w:r>
    </w:p>
    <w:p>
      <w:r>
        <w:rPr>
          <w:b/>
        </w:rPr>
        <w:t>E. 2</w:t>
      </w:r>
    </w:p>
    <w:p>
      <w:r>
        <w:t>2.1Â Â Â Â  GemÃ¤ss Art. 29 Abs. 2 der Bundesverfassung sowie Art. 42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127 V 437 Erw. 3d/aa, 126 V 132 Erw. 2b mit Hinweisen).</w:t>
      </w:r>
    </w:p>
    <w:p>
      <w:r>
        <w:t>2.2Â Â Â Â  Der BeschwerdefÃ¼hrer rÃ¼gt zunÃ¤chst eine Verletzung des rechtlichen GehÃ¶rs, da die Beschwerdegegnerin nach erfolgter Stellungnahme vom 6. Dezember 2004 die angefochtene VerfÃ¼gung vom 8. Dezember 2004 erlassen habe, obschon gemÃ¤ss Schreiben vom 24. November 2004 (vgl. Urk. 8/81) die Frist zur Stellungnahme bis und mit 23. Dezember 2004 gedauert habe. Die weitere Eingabe vom 13. Dezember 2004 (vgl. Urk. 8/91) habe die Beschwerdegegnerin mit der BegrÃ¼ndung nicht beachtet, dass der Entscheid schon gefallen sei. Damit sei der GehÃ¶rsanspruch verletzt worden (Urk. 1 S. 2 f. Ziff. 1).</w:t>
      </w:r>
    </w:p>
    <w:p>
      <w:r>
        <w:t>2.3Â Â Â Â  Die Beschwerdegegnerin hÃ¤lt dem entgegen, die angefochtene VerfÃ¼gung vom 8. Dezember 2004 sei erlassen worden, nachdem der BeschwerdefÃ¼hrer die Gelegenheit zur Stellungnahme mit Eingabe vom 6. Dezember 2004 wahrgenommen habe. Die Stellungnahme sei ohne einen Vorbehalt einer allfÃ¤lligen weiteren Stellungnahme erfolgt. Daher habe kein Anlass bestanden, mit dem Erlass der VerfÃ¼gung zuzuwarten. Der BeschwerdefÃ¼hrer habe vor Erlass der angefochtenen VerfÃ¼gung die ihm aufgrund von Art. 44 ATSG zustehenden Rechte wahrnehmen kÃ¶nnen. SÃ¤mtliche von ihm in der Eingabe vom 6. Dezember 2004 eingebrachten EinwÃ¤nde seien in der angefochtenen VerfÃ¼gung berÃ¼cksichtigt worden. Zu beachten sei des Weiteren, dass in der Eingabe vom 13. Dezember 2004 keine weiteren Tatsachen geltend gemacht und keine weiteren AntrÃ¤ge gestellt worden seien, welche nicht bereits in der Eingabe vom 6. Dezember 2004 aufgefÃ¼hrt gewesen seien (Urk. 7 S. 2 f. Ziff. 1).</w:t>
      </w:r>
    </w:p>
    <w:p>
      <w:r>
        <w:t>2.4Â Â Â Â  Es trifft zu, dass der BeschwerdefÃ¼hrer in der Stellungnahme vom 6. Dezember 2004 (Urk. 8/86) an keiner Stelle den Vorbehalt fÃ¼r eine weitere Stellungnahme innert der ihm angesetzten Frist bis 23. Dezember 2004 anbrachte. Bei dieser Sachlage konnte die Beschwerdegegnerin in guten Treuen zum Erlass der angefochtenen VerfÃ¼gung schreiten und musste nicht davon ausgehen, es werde eine weitere Stellungnahme erfolgen. Ein weiteres Zuwarten wÃ¤re nur erforderlich gewesen, wenn bis VerfÃ¼gungserlass keine Stellungnahme eingegangen wÃ¤re. Ein unbedingter Anspruch auf eine weitere Stellungnahme nach bereits erfolgter Stellungnahme besteht nicht. Es wÃ¤re Sache des BeschwerdefÃ¼hrers gewesen, sich eine zusÃ¤tzliche Stellungnahme vorzubehalten.</w:t>
      </w:r>
    </w:p>
    <w:p>
      <w:r>
        <w:t>Â Â Â Â Â Â Â Â  Es trifft im Ãbrigen auch zu, dass die Beschwerdegegnerin in der angefochtenen VerfÃ¼gung zu den vorgebrachten AntrÃ¤gen und EinwÃ¤nden, welchen sie nicht folgte, mit entsprechender BegrÃ¼ndung einging. Diejenigen Anliegen, denen sie stattgab, erwÃ¤hnte die BeschwerdefÃ¼hrerin zusÃ¤tzlich im Schreiben vom 8. Dezember 2004 (vgl. Urk. 8/87).</w:t>
      </w:r>
    </w:p>
    <w:p>
      <w:r>
        <w:t>Â Â Â Â Â Â Â Â  Nach dem Gesagten ist eine Verletzung des Anspruchs auf rechtliches GehÃ¶r nicht gegeben.</w:t>
      </w:r>
    </w:p>
    <w:p>
      <w:r>
        <w:rPr>
          <w:b/>
        </w:rPr>
        <w:t>E. 3</w:t>
      </w:r>
    </w:p>
    <w:p>
      <w:r>
        <w:t>3.1Â Â Â Â  In der Sache selber ist strittig, ob die Beschwerdegegnerin den als solchen unbestrittenen Auftrag zur Erstellung eines medizinischen Gutachtens in der gesetzlich vorgeschriebenen Weise und damit zu Recht dem Zentrum A.___ erteilte.</w:t>
      </w:r>
    </w:p>
    <w:p>
      <w:r>
        <w:t>3.2Â Â Â Â  Der BeschwerdefÃ¼hrer rÃ¼gt zum einen, der Auftrag zur Begutachtung sei nicht wie vorgeschrieben einer bestimmten natÃ¼rlichen Person erteilt worden. Nur bezÃ¼glich einer bestimmten Person kÃ¶nnten auch Ausschliessungs- und AblehnungsgrÃ¼nde vorgebracht werden. Zum anderen sei auch schon das Vorgehen vor Erlass der angefochtenen VerfÃ¼gung nicht korrekt gewesen. Es sei unmÃ¶glich gewesen, zur vorgeschlagenen Vielzahl von Institutionen respektive SachverstÃ¤ndigen konkret Stellung zu nehmen. Eine gehÃ¶rige Stellungnahme kÃ¶nne im Ãbrigen ohnehin erst erfolgen, wenn die Interessenbindungen (gesellschaftliche Beteiligungen, Anzahl der bei der Gutachtensstelle insgesamt eingeholten Gutachten, Anzahl der fÃ¼r den VersicherungstrÃ¤ger erstatteten Gutachten) offengelegt seien. Zwar begrÃ¼ndeten gesellschaftsrechtliche und wirtschaftliche AbhÃ¤ngigkeiten nicht per se eine Parteilichkeit, doch kÃ¶nnten Bindungen dieser Art nicht gÃ¤nzlich unberÃ¼cksichtigt gelassen werden. Die Beschwerdegegnerin hÃ¤tte daher der beantragten Offenlegung dieser Bindungen nachkommen mÃ¼ssen (Urk. 1 S. 3 f. Ziff. 2 und Ziff. 3, Urk. 8/86 S. 1 f.).</w:t>
      </w:r>
    </w:p>
    <w:p>
      <w:r>
        <w:t>3.3Â Â Â Â  Die Beschwerdegegnerin macht geltend, sei die Begutachtung durch einen einzigen Experten nÃ¶tig, so sei der versicherten Person vor der definitiven Erteilung des Gutachterauftrags nebst den Gutachterfragen der Name des Experten zur Kenntnis zu bringen. Sei, wie vorliegend, die Begutachtung durch eine Fachstelle vorzunehmen (interdisziplinÃ¤re Expertise), seien der versicherten Person die Namen der am Gutachten beteiligten Fachpersonen bekannt zu geben. Der VersicherungstrÃ¤ger habe die versicherte Person darauf hinzuweisen, das konkrete Begutachtungsteam werde von der Begutachtungsstelle aus den auf der Liste aufgefÃ¼hrten Experten zusammengesetzt. Ein solcher Modus genÃ¼ge den gesetzlichen Anforderungen. Das Interesse am vorgÃ¤ngigen definitiven Bekanntsein des beizuziehenden Experten werde im Ãbrigen dadurch relativiert, dass der versicherten Person bei der Ernennung der SachverstÃ¤ndigen kein Wahlrecht zukomme. Betreffend Offenlegung der Interessenbindungen sei zu beachten, dass nach der Rechtsprechung die Tatsache allein, dass ein Experte oder eine Begutachtungsstelle regelmÃ¤ssig im Auftrage eines bestimmten VersicherungstrÃ¤gers tÃ¤tig sei, nicht auf mangelnde ObjektivitÃ¤t und Befangenheit schliessen lasse. HierfÃ¼r bedÃ¼rfe es besonderer Anhaltspunkte, welche das Misstrauen in die Unparteilichkeit als objektiv begrÃ¼ndet erscheinen lasse (Urk. 2 S. 2 f., Urk. 7 S. 4 Ziff. 2-3).</w:t>
      </w:r>
    </w:p>
    <w:p>
      <w:r>
        <w:rPr>
          <w:b/>
        </w:rPr>
        <w:t>E. 4</w:t>
      </w:r>
    </w:p>
    <w:p>
      <w:r>
        <w:t>4.1Â Â Â Â  Aus den Akten ergibt sich, dass die Beschwerdegegnerin die vorgesehene Begutachtung, deren Notwendigkeit zu keinem Zeitpunkt strittig war, dem BeschwerdefÃ¼hrer mit Schreiben vom 24. November 2004 ankÃ¼ndigte, ihm einerseits den vorgesehenen Fragenkatalog vorlegte und andererseits die fÃ¼r sie in Frage kommenden Begutachtungsstellen einschliesslich der Namen der fÃ¼r diese Begutachtungsstellen tÃ¤tigen Gutachter und Gutachterinnen bekannt gab (vgl. Urk. 8/77-81). GemÃ¤ss Lehre und Rechtsprechung lÃ¤sst sich dieses Vorgehen nicht beanstanden. Danach wird die Begutachtung als mitwirkungsbedÃ¼rftige Beweismassnahme formlos mittels Realakt dem Betroffenen erÃ¶ffnet. Diese Mitteilung weist zwar bereits verfÃ¼gungsÃ¤hnlichen Charakter auf, kann sich aber auf die Nennung mehrerer potentiell mÃ¶glicher SachverstÃ¤ndiger beziehen. Sie ist mithin noch nicht individuell-konkret. In einem zweiten Schritt kann die betroffene Person EinwÃ¤nde gegen die SachverstÃ¤ndigen vorbringen, welche durch den VersicherungstrÃ¤ger zu prÃ¼fen sind. Erst in einem weiteren Schritt wird - gegebenenfalls gegen den Willen der betroffenen Person - eine Expertin oder ein Experte beziehungsweise gegebenenfalls eine Gruppe von SachverstÃ¤ndigen verbindlich festgelegt (RenÃ© Wiederkehr, Begutachtungsanordnung im Kontext des ATSG, in: AJP 9/2004 S. 1143 Ziff. 4a mit Hinweisen).</w:t>
      </w:r>
    </w:p>
    <w:p>
      <w:r>
        <w:t>4.2Â Â Â Â  Die Beschwerdegegnerin rÃ¤umte dem BeschwerdefÃ¼hrer vor ihrem Entscheid darÃ¼ber, wer mit der Erstellung der Expertise beauftragt werde und welche Fragen zur Begutachtung vorgelegt wÃ¼rden, Gelegenheit zur Stellungnahme ein, wovon der BeschwerdefÃ¼hrer am 6. Dezember 2004 auch Gebrauch machte (vgl. Urk. 8/86). Damit kam die Beschwerdegegnerin dem dem BeschwerdefÃ¼hrer zustehenden Anspruch auf vorgÃ¤ngige AnhÃ¶rung nach (vgl. Wiederkehr, a.a.O., S. 1140 ff. Ziff. 3). Aus dem Umstand, dass im Zeitpunkt des Erlasses der angefochtenen VerfÃ¼gung die Frist zur Stellungnahme bis am 23. Dezember 2004 (vgl. Urk. 8/81 S. 2) noch nicht abgelaufen war und der BeschwerdefÃ¼hrer am 13. Dezember 2004 eine weitere Stellungnahme einreichte, welche die Beschwerdegegnerin nicht mehr weiter berÃ¼cksichtigte (vgl. Urk. 8/90), kann nichts zu seinen Gunsten abgeleitet werden. Eine Verletzung des GehÃ¶rsanspruchs ist dadurch nicht gegeben (vgl. vorstehende ErwÃ¤gung 2). Inwiefern die vorgÃ¤ngige Bekanntgabe der mÃ¶glichen Gutachter respektive Gutachterstellen den GehÃ¶rsanspruch dahingehend verletzte, dass es nicht mÃ¶glich war, allfÃ¤llige Ausschliessungs- oder AblehnungsgrÃ¼nde vorzubringen, ist nicht ersichtlich. Dies wird vom BeschwerdefÃ¼hrer bloss pauschal behauptet. Dem Anspruch auf rechtliches GehÃ¶r genÃ¼gt es, wenn vor dem Entscheid des VersicherungstrÃ¤gers, wer mit der Begutachtung beauftragt werde, die mÃ¶glichen Gutachterstellen zusammen mit den Listen der fÃ¼r diese Stellen tÃ¤tigen Expertinnen und Experten in einem ersten Schritt vorab bekannt gegeben werden. Der GehÃ¶rsanspruch des BeschwerdefÃ¼hrers wurde im Ãbrigen auch nicht dadurch verletzt, dass die Beschwerdegegnerin den in Frage kommenden Gutachterstellen keine detaillierten Fragen unter anderem darÃ¼ber vorlegte, wie viele GutachtensauftrÃ¤ge sie insgesamt schon erhalten hÃ¤tten und wie viele durch die Beschwerdegegnerin. Dazu ist in nachfolgender ErwÃ¤gung 5 nÃ¤her einzugehen.</w:t>
      </w:r>
    </w:p>
    <w:p>
      <w:r>
        <w:t>4.3Â Â Â Â  Nach Eingang der Stellungnahme des BeschwerdefÃ¼hrers erliess die Beschwerdegegnerin Ã¼ber den strittigen Punkt, wer mit der Begutachtung zu beauftragen sei, am 8. Dezember 2004 eine formelle VerfÃ¼gung. Dies ist ebenfalls nicht zu beanstanden. Nach Lehre und Rechtsprechung kommt einer derartigen Anordnung materiell VerfÃ¼gungscharakter zu und diese unterliegt der Anfechtbarkeit (vgl. Wiederkehr, a.a.O., S. 1144 f. lit. d).</w:t>
      </w:r>
    </w:p>
    <w:p>
      <w:r>
        <w:t>4.4Â Â Â Â  Aus dem Anspruch auf rechtliches GehÃ¶r folgt auch die Pflicht, VerfÃ¼gungen zu begrÃ¼nden. Die von der VerfÃ¼gung betroffene Person soll in die Lage versetzt werden, eine VerfÃ¼gung sachgerecht anfechten zu kÃ¶nnen (Thomas Locher, Grundriss des Sozialversicherungsrechts, 3. A., Bern 2003, S. 459 Rz. 17 ff.). Im vorliegenden Sachzusammenhang muss die BegrÃ¼ndung der VerfÃ¼gung derart bestimmt sein, dass die versicherte Person die ihr aus dem ATSG zufliessenden Rechte wahrnehmen kann, insbesondere allfÃ¤llige AusstandsgrÃ¼nde (vgl. Art. 36 Abs. 1 ATSG) sowie sonstige AblehnungsgrÃ¼nde (vgl. Art. 44 ATSG) geltend machen kann. Zur gesetzeskonformen GewÃ¤hrleistung dieser Rechte bestimmt Art. 44 ATSG, dass der betroffenen versicherten Person der Name des Experten, der Expertin oder der gegebenenfalls mehreren beizuziehenden SachverstÃ¤ndigen bekannt gegeben wird.</w:t>
      </w:r>
    </w:p>
    <w:p>
      <w:r>
        <w:t>Â Â Â Â Â Â Â Â  Vorliegend ist unbestrittenermassen eine interdisziplinÃ¤re Begutachtung erforderlich. Daraus folgt, dass verschiedene FachÃ¤rzte fÃ¼r die Begutachtung beizuziehen sind. Indem die Beschwerdegegnerin in der angefochtenen VerfÃ¼gung bestimmte, das Zentrum A.___ als fÃ¼r interdisziplinÃ¤re geeignete Begutachtungsstelle sei mit der Begutachtung zu betrauen, genÃ¼gte sie den Anforderungen von Art. 44 ATSG. Die fÃ¼r das Zentrum A.___ tÃ¤tigen und somit fÃ¼r die Begutachtung in Betracht fallenden insgesamt sechs Gutachter respektive Gutachterinnen waren dem BeschwerdefÃ¼hrer aufgrund der zuvor abgegebenen Liste bekannt. Aus objektiver Sicht erweist es sich als zumutbar, bezÃ¼glich der vorliegend in Frage kommenden Gutachter und Gutachterinnen AbklÃ¤rungen betreffend allfÃ¤llige Ausschliessungs- respektive AblehnungsgrÃ¼nde zu tÃ¤tigen. Konkrete Ausschliessungs- und AblehnungsgrÃ¼nde brachte der BeschwerdefÃ¼hrer keine vor und er legte auch nicht dar, dass dies vorliegend nicht mÃ¶glich gewesen sei. Der Einwand, dass Ã¼berhaupt erst dann zu allfÃ¤lligen Ausschliessungs- und AblehnungsgrÃ¼nden Stellung genommen werden kÃ¶nne, wenn die in Betracht fallenden Gutachter zu ihren Interessebindungen zwischen ihnen und dem VersicherungstrÃ¤ger umfassend Auskunft gegeben hÃ¤tten, verfÃ¤ngt nicht. Ein dahingehender Anspruch besteht nicht. Zudem stellt der Umstand, dass ein Gutachter oder eine Gutachterin bereits zuvor fÃ¼r einen bestimmten VersicherungstrÃ¤ger Begutachtungen vorgenommen hat, keinen Ausschliessungsgrund dar (vgl. nachstehende Erw. 5). Zudem ist in diesem Zusammenhang darauf hinzuweisen, dass nach den Feststellungen des EidgenÃ¶ssischen Versicherungsgerichts bei den Gutachtern und Gutachterinnen einer MEDAS, um eine solche handelt es sich beim Zentrum A.___, die erforderliche UnabhÃ¤ngigkeit und Unparteilichkeit institutionell gewÃ¤hrleistet ist (BGE 123 V 175).</w:t>
      </w:r>
    </w:p>
    <w:p>
      <w:r>
        <w:t>Â Â Â Â Â Â Â Â  Das Vorgehen der Beschwerdegegnerin kann nach dem Gesagten nicht beanstandet werden. Namentlich wenn ein interdisziplinÃ¤res Gutachten einzuholen ist, genÃ¼gt die Bestimmung einer Gutachterstelle unter gleichzeitiger respektive vorgÃ¤ngiger namentlicher Bekanntgabe der fÃ¼r diese Stelle tÃ¤tigen Gutachterpersonen. Dies entspricht auch der Praxis in anderen Kantonen (vgl. Marco Reichmuth, ATSG - (erste) Erfahrungen in der IV, in: Praktische Anwendungsfragen des ATSG, Referate der Tagung vom 25. November 2003 in Luzern, St. Gallen 2004, S. 38). Anzumerken bleibt, dass Art. 44 ATSG es gebietet, dem BeschwerdefÃ¼hrer, sollte fÃ¼r die Begutachtung gegebenenfalls eine auf der Liste des Zentrum A.___ nicht genannte Gutachterpersonen beizuziehen sein, vorgÃ¤ngig diese andere Gutachterperson zu nennen und ihm Gelegenheit zu geben, zu dieser Person Stellung zu nehmen und allfÃ¤llige Ausstands- und AblehnungsgrÃ¼nde zu nennen.</w:t>
      </w:r>
    </w:p>
    <w:p>
      <w:r>
        <w:t>5.Â Â Â Â Â Â  Auch die Kritik des BeschwerdefÃ¼hrers, die Beschwerdegegnerin habe es abgelehnt, den mÃ¶glichen SachverstÃ¤ndigen respektive Gutachterstellen verschiedene Fragen betreffend deren Interessenbindung vorzulegen, ist unbegrÃ¼ndet. Nach der Rechtsprechung lÃ¤sst der Umstand, dass eine Expertin oder ein Experte von einem VersicherungstrÃ¤ger wiederholt mit der Erstellung von Gutachten beauftragt wird, nicht auf mangelnde ObjektivitÃ¤t oder auf Befangenheit schliessen (RKUV 1999 S. 193 f.). Die Beschwerdegegnerin war somit nicht verpflichtet, die vom BeschwerdefÃ¼hrer vorgelegten Anfragen an die Gutachterstellen zur Beantwortung weiter zu leiten. Aus der Beantwortung allein, wie viele Gutachter eine Expertin oder ein Experte im Auftrag der Beschwerdegegnerin bereits erstellt hat, vermÃ¶chte nach dem Gesagten kein Ablehnungsgrund zu resultieren. HierfÃ¼r bedarf es vielmehr konkreter Anhaltpunkte, ein Gutachter oder eine Gutachterin sei in der konkreten Angelegenheit nicht neutral oder objektiv.</w:t>
      </w:r>
    </w:p>
    <w:p>
      <w:r>
        <w:t>Das Gericht erkennt:</w:t>
      </w:r>
    </w:p>
    <w:p>
      <w:r>
        <w:t>1.Â Â Â Â Â Â Â Â  Die Beschwerde wird abgewiesen.</w:t>
      </w:r>
    </w:p>
    <w:p>
      <w:r>
        <w:t>2.Â Â Â Â Â Â Â Â  Das Verfahren ist kostenlos.</w:t>
      </w:r>
    </w:p>
    <w:p>
      <w:r>
        <w:t>3. Zustellung gegen Empfangsschein an:</w:t>
      </w:r>
    </w:p>
    <w:p>
      <w:r>
        <w:t>- Rechtsanwalt JÃ¼rg BÃ¼gler</w:t>
      </w:r>
    </w:p>
    <w:p>
      <w:r>
        <w:t>- Allianz Suisse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