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UV.2004.00281 vom 23. Mai 2005</w:t>
      </w:r>
    </w:p>
    <w:p>
      <w:r>
        <w:t>ZH Sozialversicherungsgericht, 2005-05-23, DE</w:t>
      </w:r>
    </w:p>
    <w:p>
      <w:r>
        <w:rPr>
          <w:b/>
        </w:rPr>
        <w:t xml:space="preserve">Quelle: </w:t>
      </w:r>
      <w:r>
        <w:t>https://mcp.opencaselaw.ch/entscheid/zh_sozialversicherungsgericht_UV.2004.00281</w:t>
      </w:r>
    </w:p>
    <w:p>
      <w:r>
        <w:t>FR: ZH_SOZIALVERSICHERUNGSGERICHT UV.2004.00281 du 23 mai 2005</w:t>
      </w:r>
    </w:p>
    <w:p>
      <w:r>
        <w:t>IT: ZH_SOZIALVERSICHERUNGSGERICHT UV.2004.00281 del 23 maggio 2005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3.1Â Â Â Â  Streitig und zu prÃ¼fen ist, ob die 50%ige LeistungskÃ¼rzung wegen Beteiligung des Versicherten an einer Rauferei/SchlÃ¤gerei zu Recht erfolgt ist.</w:t>
      </w:r>
    </w:p>
    <w:p>
      <w:r>
        <w:t>3.2Â Â Â Â  Aufgrund der polizeilichen Einvernahmen ist erstellt, dass es am 5. Mai 2004 in der CafÃ©-Bar T.___ zwischen dem BeschwerdefÃ¼hrer und F.___ zu einer Diskussion Ã¼ber portugiesischen Fussball gekommen ist. In der Folge kam es zu einem lautstarken Streit mit Beschimpfungen, da jeder seinen Lieblingsfussballclub fÃ¼r den besten hielt (Urk. 7a/3 S. 5, Urk. 7a/4 S. 1 f.). Dabei steht fest, dass der Versicherte F.___ im Laufe der verbalen Auseinandersetzung als "Sohn einer Hure" bezeichnet hat (Urk. 1 S. 3 Ziff. 8, Urk. 7a/3 S. 5). Im Sinne der zuvor zitierten Rechtsprechung (Erw. 1.3) ist unerheblich, ob der BeschwerdefÃ¼hrer dieses Schimpfwort von sich aus oder - wie beschwerdeweise geltend gemacht wird (Urk. 1 S. 3 Ziff. 8) - als Reaktion auf allfÃ¤llige Beschimpfungen durch den TÃ¤ter ausgesprochen hat. Ebenso wenig ist notwendig, dass der BeschwerdefÃ¼hrer selbst tÃ¤tlich geworden ist. Entscheidend ist einzig, dass sich der Versicherte vor Beginn der eigentlichen TÃ¤tlichkeiten am (verbalen) Streit mit F.___ beteiligt hat, von welchem er sich bewusst gewesen sein musste, dass er - gesamthaft betrachtet - das Risiko von TÃ¤tlichkeiten in sich schloss. Durch dieses Verhalten hat sich der BeschwerdefÃ¼hrer automatisch in die von der Versicherung ausgeschlossene Gefahrenzone begeben. Eine Berufung auf Unvorhersehbarkeit oder Unabwendbarkeit des tÃ¤tlichen Angriffs ist damit ausgeschlossen (Pra. 71 Nr. 284 S. 720 Erw. 2a; RKUV 1986 Nr. K 697 S. 430 Erw. 2b).</w:t>
      </w:r>
    </w:p>
    <w:p>
      <w:r>
        <w:t>Â Â Â Â Â Â Â Â  An dieser Beurteilung vermÃ¶gen auch die EinwÃ¤nde des Versicherten nichts zu Ã¤ndern. Insbesondere ist unbedeutend, ob der BeschwerdefÃ¼hrer am Tatort mit F.___ am gleichen Tisch gesessen hat oder ob der TÃ¤ter von einem anderen Tisch auf ihn zukommen ist. Dass es vor dem tÃ¤tlichen Angriff kein direktes GesprÃ¤ch zwischen den beiden gegeben hat, vermag hingegen nicht zu Ã¼berzeugen. Dies bringt der Versicherte denn auch erstmals in der Beschwerde vor (Urk. 1 S. 3 Ziff. 6) und steht in Widerspruch zu seinen im Rahmen der polizeilichen Befragung gemachten Aussagen (Urk. 7a/5 S. 1). Anhaltspunkte dafÃ¼r, dass die Angaben im Polizeirapport nicht zutreffend sind, wie der BeschwerdefÃ¼hrer im Nachhinein geltend macht (Urk. 1 S. 3 Ziff. 6, Urk. 7/Z 14), bestehen nicht. So hat der Versicherte anlÃ¤sslich der polizeilichen Einvernahme vom 6. Mai 2004 ausdrÃ¼cklich erklÃ¤rt, dass er in sprachlicher Hinsicht alles verstanden habe, und hat die Richtigkeit seiner im Rapport festgehaltenen Aussagen unterschriftlich bestÃ¤tigt. Ebenso wenig kann der Versicherte daraus, dass die zustÃ¤ndige Bezirksanwaltschaft ihm bescheinigt haben soll, an der Auseinandersetzung strafrechtlich nicht mitschuldig zu sein (Urk. 1 S. 3), noch aus dem Umstand, dass die Frau von F.___ bei ihm nachgefragt habe, ob er im Falle einer vollstÃ¤ndigen Schadloshaltung bereit sei, die Strafanzeige zurÃ¼ckzuziehen (Urk. 1 S. 4), etwas zu seinen Gunsten ableiten, ist doch - wie bereits ausgefÃ¼hrt (Erw. 1.3) - nicht erforderlich, dass ihn ein Verschulden an der HerbeifÃ¼hrung des Unfalls trifft.</w:t>
      </w:r>
    </w:p>
    <w:p>
      <w:r>
        <w:t>3.3Â Â Â Â  Nach dem Gesagten ist festzustellen, dass die LeistungskÃ¼rzung um 50% gemÃ¤ss Art. 39 UVG in Verbindung mit Art. 49 Abs. 2 lit. a UVV zu Recht erfolgt ist, weshalb sich der angefochtene Einspracheentscheid als rechtens erweist. Die Beschwerde ist somit abzuweisen.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TCL Treuhand Consulting Liegenschaften AG</w:t>
      </w:r>
    </w:p>
    <w:p>
      <w:r>
        <w:t>- ZÃ¼rich Versicherungs-Gesellschaft</w:t>
      </w:r>
    </w:p>
    <w:p>
      <w:r>
        <w:t>- Bundesamt fÃ¼r Gesundheit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