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UV.2004.00101 vom 9. Dezember 2004</w:t>
      </w:r>
    </w:p>
    <w:p>
      <w:r>
        <w:t>ZH Sozialversicherungsgericht, 2004-12-09, DE</w:t>
      </w:r>
    </w:p>
    <w:p>
      <w:r>
        <w:rPr>
          <w:b/>
        </w:rPr>
        <w:t xml:space="preserve">Quelle: </w:t>
      </w:r>
      <w:r>
        <w:t>https://mcp.opencaselaw.ch/entscheid/zh_sozialversicherungsgericht_UV.2004.00101</w:t>
      </w:r>
    </w:p>
    <w:p>
      <w:r>
        <w:t>FR: ZH_SOZIALVERSICHERUNGSGERICHT UV.2004.00101 du 9 décembre 2004</w:t>
      </w:r>
    </w:p>
    <w:p>
      <w:r>
        <w:t>IT: ZH_SOZIALVERSICHERUNGSGERICHT UV.2004.00101 del 9 dicembre 2004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1.1Â Â Â Â  G.___, geboren 1959, arbeitete seit Juli 1985 bei den A.___ (nunmehr B.___ Versicherungs-Gesellschaft) und war bei diesen gegen die Folgen von UnfÃ¤llen und Berufskrankheiten versichert. Am 15. April 1994 erlitt er einen Verkehrsunfall, wobei er sich eine HWS-Distorsion zuzog. Das von G.___ eingereichte Gesuch um Ausrichtung einer Rente der Invalidenversicherung wurde von der Sozialversicherungsanstalt des Kantons ZÃ¼rich, IV-Stelle, mit VerfÃ¼gung vom 23. August 1996 (Urk. 8/2/14) abgewiesen und dieser Entscheid vom hiesigen Gericht mit Urteil vom 9. Februar 1999 (Urk. 8/2/21) bestÃ¤tigt. Mit VerfÃ¼gung vom 16. Januar 1998 (Urk. 9/0/53) sprachen die A.___ G.___ eine Invalidenrente der Unfallversicherung auf der Basis eines InvaliditÃ¤tsgrades von 25 % ab dem 1. Januar 1998 zu. Diese VerfÃ¼gung ist unangefochten geblieben.</w:t>
      </w:r>
    </w:p>
    <w:p>
      <w:r>
        <w:t>1.2Â Â Â Â  Am 13. September 2001 stellte G.___ ein erneutes Gesuch bei der IV-Stelle um Ausrichtung von Leistungen (Urk. 8/2/28). Mit Vorbescheid vom 21. November 2002 (Urk. 8/2/36) wurde eine Abweisung des Leistungsbegehrens in Aussicht gestellt. Nach erfolgter Stellungnahme durch Rechtsanwalt Dr. Rolf Schmid (Urk. 3/5) sprach die IV-Stelle G.___ ab 1. September 2000 eine Invalidenrente basierend auf einem InvaliditÃ¤tsgrad von 40 % zu (Urk. 8/2/41), und zwar unter BerÃ¼cksichtigung eines verminderten Invalideneinkommens, welches dem effektiven Erwerbseinkommen entspricht, das G.___ nach seiner KÃ¼ndigung bei den A.___ erzielte.</w:t>
      </w:r>
    </w:p>
    <w:p>
      <w:r>
        <w:rPr>
          <w:b/>
        </w:rPr>
        <w:t>E. 1.3</w:t>
      </w:r>
    </w:p>
    <w:p>
      <w:r>
        <w:t>Dagegen macht die Beschwerdegegnerin geltend (Urk. 2, 7 und 18), einerseits setze eine Bindungswirkung an den Entscheid der Invalidenversicherung voraus, dass die VerfÃ¼gung dem anderen VersicherungstrÃ¤ger ordnungsgemÃ¤ss erÃ¶ffnet werde, was vorliegend nicht der Fall gewesen sei. Zum anderen seien die von der IV-Stelle gezogenen Schlussfolgerungen nicht nachvollziehbar. Aus den gesamten Unterlagen sei nicht ersichtlich, weshalb dem BeschwerdefÃ¼hrer die FortfÃ¼hrung des Berufs, welchen er seinerzeit bei den A.___ ausgefÃ¼hrt habe, nicht mehr zumutbar sei. Eine freiwillig in Kauf genommene Lohnreduktion sei dann nicht zu beachten, wenn der versicherten Person eine besser entlÃ¶hnte Arbeit gesundheitlich nicht verwehrt wÃ¤re.</w:t>
      </w:r>
    </w:p>
    <w:p>
      <w:r>
        <w:rPr>
          <w:b/>
        </w:rPr>
        <w:t>E. 2</w:t>
      </w:r>
    </w:p>
    <w:p>
      <w:r>
        <w:t>2.1Â Â Â Â  GemÃ¤ss Art. 6 des Bundesgesetzes Ã¼ber die Unfallversicherung (UVG) werden - soweit das Gesetz nichts anderes bestimmt - die Versicherungsleistungen bei BerufsunfÃ¤llen, NichtberufsunfÃ¤llen und Berufskrankheiten gewÃ¤hrt (Abs. 1).</w:t>
      </w:r>
    </w:p>
    <w:p>
      <w:r>
        <w:t>Â Â Â Â Â Â Â Â  Wird die versicherte Person infolge eines Unfalles zu mindestens 10 Prozent invalid, so hat sie Anspruch auf eine Invalidenrente (Art. 18 Abs. 1 UVG ). Als invalid gilt, wer voraussichtlich bleibend oder fÃ¼r lÃ¤ngere Zeit in seiner ErwerbsfÃ¤higkeit beeintrÃ¤chtigt ist (Art. 8 Abs. 1 des Bundesgesetzes Ã¼ber den Allgemeinen Teil des Sozialversicherungsrechts; ATSG).</w:t>
      </w:r>
    </w:p>
    <w:p>
      <w:r>
        <w:rPr>
          <w:b/>
        </w:rPr>
        <w:t>E. 2.2</w:t>
      </w:r>
    </w:p>
    <w:p>
      <w:r>
        <w:t>Â Â Â  Ãndert sich der InvaliditÃ¤tsgrad einer RentenbezÃ¼gerin oder eines RentenbezÃ¼gers erheblich, so wird die Rente von Amtes wegen oder auf Gesuch hin fÃ¼r die Zukunft entsprechend erhÃ¶ht, herabgesetzt oder aufgehoben (Art. 17 ATSG).</w:t>
      </w:r>
    </w:p>
    <w:p>
      <w:r>
        <w:rPr>
          <w:b/>
        </w:rPr>
        <w:t>E. 3</w:t>
      </w:r>
    </w:p>
    <w:p>
      <w:r>
        <w:t>3.1Â Â Â Â  Weil der InvaliditÃ¤tsbegriff in der Invalidenversicherung mit demjenigen in der obligatorischen Unfallversicherung (und in der MilitÃ¤rversicherung) grundsÃ¤tzlich Ã¼bereinstimmt, hat die Bemessung der InvaliditÃ¤t, auch wenn sie fÃ¼r jede Versicherung grundsÃ¤tzlich selbststÃ¤ndig vorzunehmen ist, fÃ¼r den gleichen Gesundheitsschaden in der Regel zum gleichen Ergebnis zu fÃ¼hren (BGE 119 V 470 Erw. 2b mit Hinweisen; vgl. auch BGE 123 V 271 Erw. 2a). Nach der Rechtsprechung (BGE 126 V 288 ff.) dÃ¼rfen zumindest rechtskrÃ¤ftig abgeschlossene InvaliditÃ¤tsschÃ¤tzungen eines andern Versicherers nicht unbeachtet bleiben. Vielmehr mÃ¼ssen sie als Indiz fÃ¼r eine zuverlÃ¤ssige Beurteilung gewertet und als solches in den Entscheidungsprozess erst spÃ¤ter verfÃ¼gender VersicherungstrÃ¤ger mit einbezogen werden. Wo die spÃ¤ter verfÃ¼gende Versicherung die MÃ¶glichkeit hat, den ihr ordnungsgemÃ¤ss erÃ¶ffneten Entscheid des andern Versicherers anzufechten (Art. 129 Abs. 1 der Verordnung Ã¼ber die Unfallversicherung [UVV], aufgehoben mit Inkrafttreten des ATSG; vgl. aber Art. 49 Abs. 4 ATSG und Art. 76 Abs. 1 lit. e der Verordnung Ã¼ber die Invalidenversicherung, in der seit 1. Januar 2003 geltenden Fassung), und hievon nicht Gebrauch macht, hat sie diesen grundsÃ¤tzlich gegen sich gelten zu lassen. Zumindest hat sie sich die Vermutung der Richtigkeit der bereits vorhandenen InvaliditÃ¤tsbemessung entgegenhalten zu lassen. Eine abweichende InvaliditÃ¤tsbemessung kann in solchen FÃ¤llen nur noch ausnahmsweise in Frage kommen, wobei an die BegrÃ¼ndung strenge Anforderungen zu stellen sind. Anlass fÃ¼r ein Abweichen von einer bereits rechtskrÃ¤ftigen InvaliditÃ¤tsschÃ¤tzung eines andern Versicherers kÃ¶nnen, nebst den von der Rechtsprechung bereits bisher anerkannten GrÃ¼nden (BGE 119 V 471 Erw. 2b mit Hinweisen), Ã¤usserst knappe und ungenaue AbklÃ¤rungen sowie kaum Ã¼berzeugende oder nicht sachgerechte Schlussfolgerungen geben (BGE 126 V 294 Erw. 2d [Urteil des EidgenÃ¶ssischen Versicherungsgerichts, EVG, in Sachen G. vom 16. Oktober 2002, U 281/01 Erw. 2.1]).</w:t>
      </w:r>
    </w:p>
    <w:p>
      <w:r>
        <w:t>3.2Â Â Â Â  Es ist unbestritten, dass der Beschwerdegegnerin der Entscheid der IV-Stelle vom 23. Mai 2003 (Urk. 8/2/41) nicht ordnungsgemÃ¤ss erÃ¶ffnet worden ist, weshalb sie ihn sich grundsÃ¤tzlich auch nicht entgegen zu halten lassen braucht. Eine Bindungswirkung ist indes zum Vornherein auch schon deswegen fraglich, weil die Regel, wonach ein Sozialversicherer den Entscheid einer anderen Versicherung grundsÃ¤tzlich gegen sich gelten lassen muss, wenn er diesen, ihm ordnungsgemÃ¤ss erÃ¶ffneten Entscheid nicht angefochten hat, nicht fÃ¼r den Unfallversicherer in einem von der Invalidenversicherung erÃ¶ffneten Verfahren gilt, nachdem dem Unfallversicherer jedenfalls unter der Geltung von Art. 129 UVV keine Beschwerdebefugnis gegen den Entscheid einer IV-Stelle bezÃ¼glich Festlegung des Rentenanspruchs und des InvaliditÃ¤tsgrades zusteht (Urteil des EidgenÃ¶ssischen Versicherungsgerichts in Sachen Schweizerische Unfallversicherungsanstalt gegen IV-Stelle des Kantons Freiburg vom 13. Januar 2004, I 564/02; teilweise publiziert und Ã¼bersetzt in: AHI 2004 S. 181 ff.). Daneben ist auch zu beachten, dass der Entscheid Ã¼ber die Rentenleistung der Beschwerdegegnerin im Jahr 1998 ergangen ist, also zeitlich mehrere Jahre vor dem positiven Entscheid der Invalidenversicherung Ã¼ber ihre Rentenleistung vom 23. Mai 2003. Wollte man von einer grundsÃ¤tzlichen Bindungswirkung ausgehen, so hÃ¤tte die Invalidenversicherung die rechtskrÃ¤ftig abgeschlossene InvaliditÃ¤tsschÃ¤tzung der Beschwerdegegnerin miteinbeziehen mÃ¼ssen, zumal sich das hiesige Gericht in seinem Urteil vom 9. Februar 1999 (Urk. 8/2/21) nicht abschliessend Ã¼ber den InvaliditÃ¤tsgrad geÃ¤ussert hat. Zumindest kann es aber nicht angehen, die Beschwerdegegnerin im Revisionsverfahren auf die in der Zwischenzeit durch die Invalidenversicherung vorgenommene revidierte InvaliditÃ¤tsbemessung zu behaften. Es ist daher unabhÃ¤ngig von der neuen InvaliditÃ¤tseinschÃ¤tzung durch die Invalidenversicherung zu prÃ¼fen, ob sich seit Erlass der RentenverfÃ¼gung vom 16. Januar 1998 (Urk. 9/0/53) eine wesentliche Ãnderung der tatsÃ¤chlichen VerhÃ¤ltnisse (Ãnderung des Gesundheitszustandes oder der ErwerbsmÃ¶glichkeiten bei gleichbleibendem Gesundheitszustand) ergeben hat, welche geeignet ist, den InvaliditÃ¤tsgrad und damit den Rentenanspruch aus der Unfallversicherung zu beeinflussen.</w:t>
      </w:r>
    </w:p>
    <w:p>
      <w:r>
        <w:rPr>
          <w:b/>
        </w:rPr>
        <w:t>E. 4</w:t>
      </w:r>
    </w:p>
    <w:p>
      <w:r>
        <w:t>4.1Â Â Â Â  In der ursprÃ¼nglichen RentenverfÃ¼gung vom 16. Januar 1998 (Urk. 9/0/53) ging die Beschwerdegegnerin von einer EinschrÃ¤nkung in der ErwerbsfÃ¤higkeit von 25 % aus. Wie diese EinschrÃ¤nkung berechnet wurde, lÃ¤sst sich nicht abschliessend nachvollziehen, aufgrund der Akten ergibt sich aber (vgl. Urk. 9/0/48), dass die VerfÃ¼gung in Absprache mit dem BeschwerdefÃ¼hrer und seinem Rechtsvertreter erlassen wurde. Da die VerfÃ¼gung unangefochten in Rechtskraft erwachsen ist, ist sie auch zum heutigen Zeitpunkt nicht mehr Ã¼berprÃ¼fbar, zumal kein gerichtlicher Anspruch auf WiedererwÃ¤gung besteht (vgl. BGE 106 V 79). In Bezug auf die Frage, ob eine wesentliche VerÃ¤nderung der tatsÃ¤chlichen VerhÃ¤ltnisse eingetreten ist, ist unbestritten, dass sich der Gesundheitszustand des BeschwerdefÃ¼hrers nicht verÃ¤ndert hat (Urk. 14 S. 3). Eine solche VerÃ¤nderung ist auch aufgrund der Ã¤rztlichen Unterlagen (Urk. 8/1/1-49) nicht ersichtlich. Hingegen macht der BeschwerdefÃ¼hrer geltend, er habe aus gesundheitlichen GrÃ¼nden seine Arbeit bei den A.___ zugunsten einer schlechter bezahlten Stelle bei der E.___ AG aufgegeben.</w:t>
      </w:r>
    </w:p>
    <w:p>
      <w:r>
        <w:t>4.2Â Â Â Â  Der BeschwerdefÃ¼hrer arbeitete bis zu seiner selbst ausgesprochenen KÃ¼ndigung per 31. Mai 2000 als Aussendienst-Mitarbeiter bei den A.___. Als KÃ¼ndigungsgrund nannte die Arbeitgeberin gegenseitige Unstimmigkeiten (Urk. 8/2/27), der BeschwerdefÃ¼hrer selber fÃ¼hrte als Grund fÃ¼r seine KÃ¼ndigung Mobbing am Arbeitsplatz seitens des Verkaufsleiters und Arbeitskollegen an (Urk. 8/2/27 RÃ¼ckseite) und macht geltend, Ursache dieses Mobbings beziehungsweise der Unstimmigkeiten seien die unfallbedingten EinschrÃ¤nkungen gewesen (Urk. 3/5). Aus dem Vergleich der Berichte der R.___ vom 6. Januar 1997 (Urk. 8/1/38) und vom 1. Oktober 1999 (Urk. 8/1/47) ergibt sich, dass es dem BeschwerdefÃ¼hrer unverÃ¤ndert zumutbar ist, als Versicherungsberater tÃ¤tig zu sein, vorausgesetzt er plant ausreichend Pausen ein und bereitet sich auf Kundentermine gut vor. Im letzteren Bericht ist unter den subjektiven Beschwerden vermerkt, dass gegenÃ¼ber den Vorjahren eine (lohnmÃ¤ssige) Leistungseinbusse habe verzeichnet werden mÃ¼ssen. Dies werde vorwiegend durch die schlechtere Arbeitslage und dem damit verbundenen Stress am Arbeitsplatz mit nachfolgender Zunahme der Beschwerden beschrieben. Ferner werden grÃ¶ssere Stimmungsschwankungen genannt, welche zusÃ¤tzlich durch die Trennung von der Ehefrau akzentuiert seien (Urk. 8/1/47 S. 2). Insgesamt fÃ¼hrte dies indes nicht zu einer Ã¤rztlich attestierten verminderten LeistungsfÃ¤higkeit in bisherigen Beruf (vgl. auch die Arztzeugnisse von Dr. med. C.___, Urk. 8/1/48-49). Es ist deshalb davon auszugehen, dass es dem BeschwerdefÃ¼hrer nach wie vor zumutbar gewesen wÃ¤re, seine bisherige Stelle zu behalten oder seine medizinisch zumutbare ArbeitsfÃ¤higkeit - nach immerhin fast 20jÃ¤hriger Erfahrung als Versicherungsberater - im bisherigen Berufsfeld und mit Ã¤hnlichen VerdienstmÃ¶glichkeiten zu verwerten. Selbst wenn davon ausgegangen wÃ¼rde, dass der BeschwerdefÃ¼hrer nach derart langer BetriebszugehÃ¶rigkeit einzig aus gesundheitlichen GrÃ¼nden Mobbingopfer geworden wÃ¤re, so wÃ¤re darauf hinzuweisen, dass die KÃ¼ndigung von seiner Seite aus erfolgte und keine Hinweise darauf bestehen, dass ihm ein weiterer Verbleib aus gesundheitlichen GrÃ¼nden nicht zumutbar gewesen wÃ¤re, zumindest bis er eine vergleichbare Stelle gefunden hÃ¤tte. Selbst bei einer gesundheitsbedingten beruflichen VerÃ¤nderung hat die versicherte Person die finanziellen Einbussen selber zu tragen, wenn ihr besser entlÃ¶hnte Arbeiten gesundheitlich nicht verwehrt gewesen wÃ¤ren (Urteil des EVG in Sachen J. vom 26. November 2003, U 158/03).</w:t>
      </w:r>
    </w:p>
    <w:p>
      <w:r>
        <w:t>Schliesslich ist entgegen seinen Vorbringen auch nicht dargelegt, dass der BeschwerdefÃ¼hrer in seinem neuen beruflichen Umfeld erheblich weniger verdient als an seiner bisherigen Stelle. Laut seinen eigenen Angaben und dem von ihm ausgefÃ¼llten Arbeitgeberfragebogen vom 5. November 2001 (Urk. 8/2/29) erzielt er als GeschÃ¤ftsfÃ¼hrer der E.___ AG Fr. 60'000.-- im Jahr und war es ihm bis zur Stilllegung der D.___ GmbH im Februar 2001 mÃ¶glich, als Buchhalter einen Nebenverdienst von monatlich Fr. 1'500.--, das heisst Fr. 18'000.-- jÃ¤hrlich zu erzielen (Urk. 8/2/32). Verglichen mit den in den letzten Jahren als Aussendienstmitarbeiter der A.___ erzielten Jahreseinkommen (vgl. Urk. 8/2/27 und Urk. 8/2/26) von Fr. 48'290.85 (1999), Fr. 65'296.35 (1998), Fr. 108'770.-- (1997), Fr. 79'195.-- (1996) und Fr. 58'616.-- (1995) ergibt sich hieraus keine erhebliche negative VerÃ¤nderung der tatsÃ¤chlichen erwerblichen VerhÃ¤ltnisse im Durchschnitt.</w:t>
      </w:r>
    </w:p>
    <w:p>
      <w:r>
        <w:rPr>
          <w:b/>
        </w:rPr>
        <w:t>E. 5</w:t>
      </w:r>
    </w:p>
    <w:p>
      <w:r>
        <w:t>Zusammenfassend ist daher festzuhalten, dass seit Erlass der VerfÃ¼gung vom 16. Januar 1998 (Urk. 9/0/53) trotz des durch den BeschwerdefÃ¼hrer vorgenommenen Stellenwechsel keine relevante Ãnderung des Invalideneinkommens eingetreten ist, welche sich die Beschwerdegegnerin hÃ¤tte anrechnen lassen mÃ¼ssen. Der Einspracheentscheid vom 30. Januar 2004 (Urk. 2) erweist sich somit als rechtens und die Beschwerde ist abzuweisen.</w:t>
      </w:r>
    </w:p>
    <w:p>
      <w:r>
        <w:t>Das Gericht erkennt:</w:t>
      </w:r>
    </w:p>
    <w:p>
      <w:r>
        <w:t>1.Â Â Â Â Â Â Â Â  Die Beschwerde wird abgewiesen.</w:t>
      </w:r>
    </w:p>
    <w:p>
      <w:r>
        <w:t>2.Â Â Â Â Â Â Â Â  Das Verfahren ist kostenlos.</w:t>
      </w:r>
    </w:p>
    <w:p>
      <w:r>
        <w:t>3. Zustellung gegen Empfangsschein an:</w:t>
      </w:r>
    </w:p>
    <w:p>
      <w:r>
        <w:t>- Rechtsanwalt Dr. Rolf Schmid</w:t>
      </w:r>
    </w:p>
    <w:p>
      <w:r>
        <w:t>- B.___ Versicherungs-Gesellschaft,</w:t>
      </w:r>
    </w:p>
    <w:p>
      <w:r>
        <w:t>- Bundesamt fÃ¼r Gesundheit</w:t>
      </w:r>
    </w:p>
    <w:p>
      <w:r>
        <w:t>4.Â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