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UV.2004.00069 vom 29. April 2005</w:t>
      </w:r>
    </w:p>
    <w:p>
      <w:r>
        <w:t>ZH Sozialversicherungsgericht, 2005-04-29, DE</w:t>
      </w:r>
    </w:p>
    <w:p>
      <w:r>
        <w:rPr>
          <w:b/>
        </w:rPr>
        <w:t xml:space="preserve">Quelle: </w:t>
      </w:r>
      <w:r>
        <w:t>https://mcp.opencaselaw.ch/entscheid/zh_sozialversicherungsgericht_UV.2004.00069</w:t>
      </w:r>
    </w:p>
    <w:p>
      <w:r>
        <w:t>FR: ZH_SOZIALVERSICHERUNGSGERICHT UV.2004.00069 du 29 avril 2005</w:t>
      </w:r>
    </w:p>
    <w:p>
      <w:r>
        <w:t>IT: ZH_SOZIALVERSICHERUNGSGERICHT UV.2004.00069 del 29 aprile 2005</w:t>
      </w:r>
    </w:p>
    <w:p>
      <w:pPr>
        <w:pStyle w:val="Heading2"/>
      </w:pPr>
      <w:r>
        <w:t>Erwägungen</w:t>
      </w:r>
    </w:p>
    <w:p>
      <w:r>
        <w:rPr>
          <w:b/>
        </w:rPr>
        <w:t>E. 2</w:t>
      </w:r>
    </w:p>
    <w:p>
      <w:r>
        <w:t>2.1Â Â Â Â  Nach Art. 24 Abs. 1 des Bundesgesetzes Ã¼ber die Unfallversicherung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geistige, psychische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Bereits nach dem Gesetz bezogene EntschÃ¤digungen werden prozentual angerechnet (Abs. 3). Voraussehbare Verschlimmerungen des IntegritÃ¤tsschadens werden angemessen berÃ¼cksichtigt. Revisionen sind nur im Ausnahmefall mÃ¶glich, wenn die Verschlimmerung von grosser Tragweite ist und nicht voraussehbar war (Abs. 4).</w:t>
      </w:r>
    </w:p>
    <w:p>
      <w:r>
        <w:t>2.2Â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2.3Â Â Â Â</w:t>
      </w:r>
    </w:p>
    <w:p>
      <w:r>
        <w:t>2.3.1Â Â  Anspruch auf eine IntegritÃ¤tsentschÃ¤digung besteht grundsÃ¤tzlich auch bei BeeintrÃ¤chtigungen der psychischen IntegritÃ¤t. In der bis zum 31. Dezember 2003 in Kraft gestandenen Fassung von Art. 24 UVG bestand Anspruch auf angemessene IntegritÃ¤tsentschÃ¤digung bei einer SchÃ¤digung der kÃ¶rperlichen oder geistigen IntegritÃ¤t. Die psychischen SchÃ¤digungen waren dabei vom Begriff der "geistigen IntegritÃ¤t" mitumfasst (BGE 124 V 34 f. Erw. 3a). Seit dem 1. Januar 2004 ist die "psychische" neben der kÃ¶rperlichen und geistigen IntegritÃ¤t sodann in Art. 24 UVG ausdrÃ¼cklich aufgefÃ¼hrt.</w:t>
      </w:r>
    </w:p>
    <w:p>
      <w:r>
        <w:t>2.3.2Â Â  Nach der Rechtsprechung des EidgenÃ¶ssischen Versicherungsgerichtes ist bei der Beurteilung der Dauerhaftigkeit psychogener Unfallfolgen an das Unfallereignis anzuknÃ¼pfen und von der Praxis auszugehen, wie sie fÃ¼r die Beurteilung der AdÃ¤quanz psychischer Unfallfolgen Geltung hat (BGE 115 V 133). Danach wird die AdÃ¤quanz bei banalen bzw. leichten UnfÃ¤llen in der Regel ohne weiteres verneint und bei schweren UnfÃ¤llen in der Regel bejaht; im mittleren Bereich bedarf es besonderer, objektiv erfassbarer UmstÃ¤nde, damit die AdÃ¤quanz bejaht werden kann (BGE 115 V 138 ff. Erw. 6). In Anlehnung an diese Praxis und die psychiatrischen Lehrmeinungen ist der Anspruch auf IntegritÃ¤tsentschÃ¤digung bei banalen bzw. leichten UnfÃ¤llen regelmÃ¤ssig zu verneinen, selbst wenn die AdÃ¤quanz der Unfallfolgen ausnahmsweise bejaht wird. Auch bei UnfÃ¤llen im mittleren Bereich lÃ¤sst sich die Dauerhaftigkeit des IntegritÃ¤tsschadens in der Regel verneinen, ohne dass in jedem Einzelfall eine nÃ¤here AbklÃ¤rung von Art und Dauerhaftigkeit des psychischen Schadens vorzunehmen wÃ¤re. Etwas anderes gilt nur ausnahmsweise, namentlich im Grenzbereich zu den schweren UnfÃ¤llen, wenn aufgrund der Akten erhebliche Anhaltspunkte fÃ¼r eine besonders schwerwiegende BeeintrÃ¤chtigung der psychischen IntegritÃ¤t bestehen, die einer Besserung nicht mehr zugÃ¤nglich zu sein scheint. Solche Indizien kÃ¶nnen in den weiteren unfallbezogenen Kriterien erblickt werden, wie sie bei der AdÃ¤quanzbeurteilung zu berÃ¼cksichtigen sind (BGE 115 V 140 f. Erw. 6c), sofern sie besonders ausgeprÃ¤gt und gehÃ¤uft gegeben sind und die Annahme nahe legen, sie kÃ¶nnten als Stressoren eine lebenslang chronifizierende Auswirkung begÃ¼nstigt haben. Bei schweren UnfÃ¤llen schliesslich ist die Dauerhaftigkeit des IntegritÃ¤tsschadens stets zu prÃ¼fen und nÃ¶tigenfalls durch ein psychiatrisches Gutachten abzuklÃ¤ren, sofern sie nicht bereits aufgrund der Akten als eindeutig erscheint (BGE 124 V 44 f. Erw. 5c/bb).</w:t>
      </w:r>
    </w:p>
    <w:p>
      <w:r>
        <w:t>3.Â Â Â Â Â Â</w:t>
      </w:r>
    </w:p>
    <w:p>
      <w:r>
        <w:t>3.1Â Â Â Â  SUVA-Kreisarzt Dr. med. H.___ stellte am 5. Juli 2000 vor dem weiteren Eingriff vom 11. Juli 2000 mit der Achsenkorrektur und der Arthrodesierung des DIP am Mittelfinger eine starke lokale Druckempfindlichkeit des DIP am Mittelfinger bei weitgehender Ankylose (Versteifung; vgl. Pschyrembel, Klinisches WÃ¶rterbuch, 259. Auflage, S. 81) fest. Auch der Ringfinger war im Endgelenk ankylosiert in Streckstellung und druckempfindlich. Bei beiden Fingern war die SensibilitÃ¤t im Bereich der Tastzone erhalten und die Beweglichkeit im Grund- und Mittelgelenk frei und indolent. Radiologisch zeigte sich das DIP des Ringfingers verschmÃ¤lert (Urk. 7/39 S. 2). Am 11. Januar 2001 zeigten sich reizlose NarbenverhÃ¤ltnisse an Mittel- und Ringfinger. Der Faustschluss war vollstÃ¤ndig mÃ¶glich. In den proximalen Interphalangealgelenken (PIP) bestand noch eine Ãberstreckung. Im Bereich des rechten Beckenkamms bestanden reizlose NarbenverhÃ¤ltnisse, im proximalen Drittel jedoch ein reproduzierbares Tinel-PhÃ¤nomen. Die Funktion der Hand wurde von den Ãrzten des D.___ als sehr gut beurteilt. Im Bereich der Beckenkamm-Entnahmestelle wurde die DurchfÃ¼hrung lokaler Infiltrationen empfohlen (Urk. 7/56). SUVA-Arzt Dr. H.___ stellte demgegenÃ¼ber am 30. Januar 2001 am Mittelfingerendgelenk nach wie vor eine starke Empfindlichkeit und neu eine Verminderung der SensibilitÃ¤t in der Tastzone fest. Beim Faustschluss konnten die Endglieder des Mittel- und des Ringfingers nicht eingeschlagen werden (Urk. 7/59 S. 2).</w:t>
      </w:r>
    </w:p>
    <w:p>
      <w:r>
        <w:t>Â Â Â Â Â Â Â Â  Dr. med. I.___ vom D.___ nahm am 20. Juni 2001 zum somatischen Gesundheitsschaden des Versicherten Stellung. Im Bereich des rechten Beckenkamms hÃ¤tten die durchgefÃ¼hrten Infiltrationen keine Besserung der Beschwerden gebracht. Aufgrund der ausgeprÃ¤gten posttraumatischen BelastungsstÃ¶rung beurteilten die Ãrzte des D.___ einen operativen Eingriff nicht als erfolgsversprechend. Auch im Bereich des Mittelfingers bestehe die MÃ¶glichkeit, die Drahtcerclage zu entfernen, da darin die mÃ¶gliche Ursache fÃ¼r den lokalisierten Druckschmerz zu sehen sei. DiesbezÃ¼glich sei der Versicherte aber zurÃ¼ckhaltend eingestellt. Leichten TÃ¤tigkeiten mit Belastungen bis zu 5 kg der linken Hand stehe von somatischer Seite her sicherlich nichts im Wege (Urk. 7/77 S. 1, vgl. auch Urk. 7/76).</w:t>
      </w:r>
    </w:p>
    <w:p>
      <w:r>
        <w:t>3.2Â Â Â Â  Dr. F.___ berichtete nach ihrer Untersuchung vom 11. Juni 2002, zum jetzigen Zeitpunkt kÃ¶nne nur festgehalten werden, dass der Versicherte in natÃ¼rlichem Kausalzusammenhang mit dem Unfallereignis unter einem Ã¤ngstlich depressiven Syndrom mit dissoziativen Begleitsymptomen und an einer Schmerzsymptomatik - mÃ¶glicherweise auf dem Hintergrund von narzisstischen PersÃ¶nlichkeitszÃ¼gen - leide. Letzteres mÃ¼sste aber auf dem Hintergrund seiner Herkunft, seiner Vorstellungen kÃ¶rperlicher IntegritÃ¤t, seiner Biographie und Vorgeschichte Ã¼berprÃ¼ft werden (Urk. 7/94 S. 11 f.).</w:t>
      </w:r>
    </w:p>
    <w:p>
      <w:r>
        <w:t>Â Â Â Â Â Â Â Â  Dr. E.___ diagnostizierte am 12. Oktober 2002 eine posttraumatische BelastungsstÃ¶rung, ein chronisches Schmerzsyndrom, Panikattacken und eine depressive Entwicklung. Der Zustand sei stationÃ¤r, zeitweise verschlechtere er sich. Er schloss auf eine bleibende Behinderung (Urk. 7/100). Im Bericht vom 7. April 2003 schilderte Dr. E.___, dass sich bezÃ¼glich der Symptome der posttraumatischen BelastungsstÃ¶rung zwischenzeitlich eine Verschlechterung von deutlichem und zunehmend beeintrÃ¤chtigendem Ausmass eingestellt habe. Das seit einem guten Jahr bestehende Paniksyndrom habe sich ausgeweitet. Es seien vor allem die Panikattacken, die dem BeschwerdefÃ¼hrer "ein unter die Leute mischen" nur mehr unter Schwierigkeiten erlaubten. Diese Phobie mit ihren sozialen Anteilen gehe mit der Angst einher, gerade inmitten von Menschen SchwÃ¤che zu zeigen, zu kollabieren und dann irgendwem schutzlos ausgeliefert zu sein. Die verhaltenstherapeutischen und pharmakologischen Interventionen hÃ¤tten bisher nicht vermocht, das Vermeidungsverhalten nachhaltig zu verbessern. Zu der von Dr. F.___ aufgeworfenen Frage der Bedeutung der kÃ¶rperlichen IntegritÃ¤t fÃ¼r den BeschwerdefÃ¼hrer als Ausgangspunkt des pathologischen Geschehens (vgl. Urk. 7/94 S. 12) fÃ¼hrte er aus, die Verletzung der kÃ¶rperlichen IntegritÃ¤t an sich sei nicht als Ausgangspunkt zu sehen (Urk. 7/107 S. 1 f.). Die Pathogenese scheine sich mehr im Sinne einer narzisstischen KrÃ¤nkung infolge Trauma und Folgen, d.h. im Sinne einer pathologischen Erlebnisverarbeitung entwickelt zu haben (Urk. 7/107 S. 2). Im Bericht vom 17. Juli 2003 beurteilte Dr. E.___ die Prognose als aktuell sehr schlecht. Er rechne nicht mit der Wiedererlangung der ArbeitsfÃ¤higkeit und mit der Wiederaufnahme einer ArbeitstÃ¤tigkeit unter den gegebenen VerhÃ¤ltnissen. Eine Evaluation der funktionellen LeistungsfÃ¤higkeit in Bellikon sollte aber durchfÃ¼hrbar sein (Urk. 7/114).</w:t>
      </w:r>
    </w:p>
    <w:p>
      <w:r>
        <w:t>Â Â Â Â Â Â Â Â  Dr. F.___ hielt am 18. August 2003 fest, angesichts der wachsenden Symptome, wahrscheinlich neben dem Unfallereignis auch aus unfallfremden GrÃ¼nden, und angesichts der schlechten Prognose, die Dr. E.___ gestellt habe, sei es bald vier Jahre nach dem Unfallereignis unwahrscheinlich, dass eine wesentliche Besserung und Wiederherstellung der ArbeitsfÃ¤higkeit in verwertbarem Ausmass zu erwarten sei. Das bedeute, dass der Versicherte allenfalls noch stundenweise arbeitsfÃ¤hig wÃ¤re und der Abschluss zu empfehlen sei. Die Behandlung mÃ¼sse prinzipiell im Sinne von Art. 21 UVG fortgesetzt werden. Die SchÃ¤tzung des IntegritÃ¤tsschadens fÃ¼r die psychischen Unfallfolgen kÃ¶nne aktuell noch nicht vorgenommen werden. Sie empfehle dafÃ¼r eine Wiedervorstellung des Versicherten nicht vor Ende 2004 (Urk. 7/115 S. 2).</w:t>
      </w:r>
    </w:p>
    <w:p>
      <w:r>
        <w:t>3.3Â Â Â Â  Bei der Untersuchung vom 26. September 2003 durch SUVA-Kreisarzt Dr. G.___ gab der Versicherte an, dass die linke Hand fÃ¼r ihn praktisch wertlos sei. Er kÃ¶nne sie wegen Schmerzen im Mittel- und Ringfinger nicht einsetzen. Nach den Angaben von Kreisarzt Dr. G.___ habe sich bei der Untersuchung die Hand aspektmÃ¤ssig eigentlich unauffÃ¤llig prÃ¤sentiert. Der Mittel- und der Ringfinger seien im Endgelenk etwas schmÃ¤ler. Die Arthrodese des DIP des Mittelfingers sitze fest, beim Ringfinger seien im DIP Wackelbewegungen mÃ¶glich, wobei diese offenbar starke Schmerzen verursachten. Der Faustschluss sei mit dem Zeige-, Mittel- und Ringfinger vollstÃ¤ndig mÃ¶glich, am Ringfinger bestehe eine Sperredistanz von 1 cm. Die Faustschlusskraft betrage 10 kg (Gegenseite 60 kg), wobei beim Faustschluss nur der Daumen, der Zeigefinger und Kleinfinger eingesetzt wÃ¼rden. Die zwei mittelstÃ¤ndigen Finger wÃ¼rden dabei gestreckt. Dies, weil Schmerzen auftreten wÃ¼rden, wenn der BeschwerdefÃ¼hrer diese zwei Finger in der Hohlhand krÃ¤ftig einschlage. Auch am Beckenkamm rechts wÃ¼rden subjektiv starke Schmerzen angegeben. Die Palpation sei ebenfalls sehr schmerzhaft, wobei eine Eingrenzung nicht mÃ¶glich respektive Anhaltspunkte fÃ¼r eine Narbenneuromproblematik nicht gegeben seien. Es handle sich um einen diffusen, nicht klar eingrenzbaren Schmerzzustand ohne lokale Reizerscheinungen. Es bestÃ¼nden weder Anhaltspunkte fÃ¼r eine NervenlÃ¤sion noch fÃ¼r eine typische Nerven-Impingement-Symptomatik (Urk. 7/119 S. 1). BezÃ¼glich der Hand seien aktuell keine weiteren BehandlungsmÃ¶glichkeiten mehr vorhanden. Bei einer allfÃ¤lligen Beruhigung der psychischen Situation bestÃ¼nde als Schmerzbehandlung wahrscheinlich als einzige MÃ¶glichkeit eine Arthrodese beider PIP-Gelenke des Mittel- und Ringfingers. Die Operation aktuell durchzufÃ¼hren, sei nicht sinnvoll, da nicht klar evaluierbar sei, ob der Schmerz lokal genÃ¼gend erklÃ¤rt werden kÃ¶nne oder ob die Psychopathologie ebenfalls ein Schmerz-Co-Faktor sei (Urk. 7/119 S. 2). Die Situation wie im Bericht beschrieben entspreche am ehesten dem Schema 36 der Tabelle 3.5. Die Finger seien zwar nicht amputiert, seien aber im Handschema nicht mehr reintegriert. Er schÃ¤tze den IntegritÃ¤tsschaden auf 10 % (Urk. 7/120).</w:t>
      </w:r>
    </w:p>
    <w:p>
      <w:r>
        <w:rPr>
          <w:b/>
        </w:rPr>
        <w:t>E. 3</w:t>
      </w:r>
    </w:p>
    <w:p>
      <w:r>
        <w:t>3.1Â Â Â Â  Der BeschwerdefÃ¼hrer liess bezÃ¼glich der IntegritÃ¤tseinbusse der linken Hand geltend machen, es liege eine irreversible GebrauchsunfÃ¤higkeit der betroffenen Gebrauchshand vor. Aus diesem Grund sei er anerkanntermassen vollstÃ¤ndig erwerbsunfÃ¤hig. Es sei ihm fÃ¼r EinschrÃ¤nkungen der Hand eine IntegritÃ¤tsentschÃ¤digung von 50 % auszurichten (Urk. 1 S. 2 f. und 9 S. 2).</w:t>
      </w:r>
    </w:p>
    <w:p>
      <w:r>
        <w:t>Â Â Â Â Â Â Â Â  Unstreitig demgegenÃ¼ber ist, dass fÃ¼r die Schmerzen im Bereich der Spanentnahmestelle am Beckenkamm rechts keine IntegritÃ¤tsentschÃ¤digung geschuldet ist. Dr. G.___ konnte bei der Untersuchung vom 26. September 2003 denn auch keine objektivierbaren EinschrÃ¤nkungen mehr feststellen (Urk. 7/119 S. 1; vgl. auch Urk. 7/77 S. 1, 7/74, 7/65 und 7/56 S. 1).</w:t>
      </w:r>
    </w:p>
    <w:p>
      <w:r>
        <w:t>3.2Â Â Â Â  Nach dem erwÃ¤hnten Anhang 3 zur UVV betrÃ¤gt der IntegritÃ¤tsschaden bei Verlust einer Hand 40 %, bei Verlust eines Daumens 20 % und bei Verlust von mindestens zwei Gliedern eines Langfingers oder eines Gliedes des Daumens 5 %. Mit der seit dem 1. Januar 1998 in Kraft stehenden Fassung des Anhangs 3 zur UVV wurde die im Zusammenhang mit dem Verlust der Hand oder dem Verlust des Daumens im Grundgelenk frÃ¼her gemachte Unterscheidung zwischen der Gebrauchshand einerseits und der anderen, nicht dominanten Hand andererseits aufgegeben und der EntschÃ¤digungsgrad fÃ¼r beide HÃ¤nde angeglichen (vgl. auch Entscheid des EidgenÃ¶ssischen Versicherungsgerichtes vom 11. Juni 2003 in Sachen G., U 210/01, Erw. 6.2.2). Ob es sich bei der betroffenen linken Hand beim BeschwerdefÃ¼hrer damit um die Gebrauchshand oder um die adominante Hand handelt, hat damit fÃ¼r die Frage der HÃ¶he der IntegritÃ¤tsentschÃ¤digung ausser Betracht zu bleiben.</w:t>
      </w:r>
    </w:p>
    <w:p>
      <w:r>
        <w:t>Â Â Â Â Â Â Â Â  Die Beschwerdegegnerin ging gestÃ¼tzt auf die Beurteilung von Dr. G.___ von der Tabelle 3 ("IntegritÃ¤tsschÃ¤den bei einfachen oder kombinierten Finger-, Hand- oder Armverlusten") aus und berÃ¼cksichtigte das Schema 36 mit einem teilweisen Verlust des Mittel- und des Ringfingers im proximalen Interphalangealgelenk.</w:t>
      </w:r>
    </w:p>
    <w:p>
      <w:r>
        <w:t>3.3Â Â Â Â  Entgegen der EinschÃ¤tzung des BeschwerdefÃ¼hrers kann nicht von der vollstÃ¤ndigen GebrauchsunfÃ¤higkeit der linken Hand ausgegangen werden (vgl. Urk. 1 S. 3). Die Ãrzte des D.___ erachteten eine Aufnahme einer leichten ArbeitstÃ¤tigkeit vom somatischen Gesundheitszustand her und unter Einbezug der linken Hand als zumutbar (vgl. Urk. 7/77 S. 2, vgl. auch Urk. 7/56 S. 2). Auch Dr. G.___ erachtete bezÃ¼glich der Handverletzung im Allgemeinen und im Vergleich zu Ã¤hnlich gelagerten FÃ¤llen - mithin vom objektivierbaren Zustand der Hand her - eine Wiedereingliederung als zumutbar (Urk. 7/119 S. 2). Befunde, die eine vollstÃ¤ndige GebrauchsunfÃ¤higkeit der linken Hand erklÃ¤ren kÃ¶nnten, liegen nicht vor; Handgelenk, Vorderarm und Schulter zeigten keinen Befund und auch die Fingergrundgelenke waren frei beweglich (Urk. 7/119 S. 1; vgl. RKUV 1987 Nr. U 18 S. 311 und 313). Der InvaliditÃ¤tsgrad von 100 % und die Invalidenrente sind denn massgeblich durch die psychischen EinschrÃ¤nkungen bedingt (vgl. Urk. 7/114 und 7/115).Â</w:t>
      </w:r>
    </w:p>
    <w:p>
      <w:r>
        <w:t>Â Â Â Â Â Â Â Â  Dr. G.___ trug den Schmerzangaben des BeschwerdefÃ¼hrers, bezÃ¼glich welchen er annahm, sie seien teilweise durch die Psychopathologie mitbestimmt, insoweit Rechnung, als er fÃ¼r die IntegritÃ¤tsschadensbemessung von der Ausschaltung der mittelstÃ¤ndigen Langfinger ausging. Er hielt eine StÃ¶rung der Gesamtfunktion der linken Hand mit Ausschaltung der mittelstÃ¤ndigen Langfinger fest (Urk. 7/120). Diese Ausschaltung wirkt sich namentlich auf die Kraft der linken Hand aus. Die Faustschlusskraft war denn auch beim durchgefÃ¼hrten Untersuch wegen des fehlenden Einsatzes der mittelstÃ¤ndigen Finger stark reduziert (Urk. 7/119 S. 1). Mit der berÃ¼cksichtigten Ausschaltung der mittelstÃ¤ndigen Langfinger wurde aber auch bestehenden, schmerzbedingten EinschrÃ¤nkungen bei der Feinmotorik, etwa beim Feingriff, Rechnung getragen (vgl. Debrunner, OrthopÃ¤die und OrthopÃ¤dische Chirurgie, 4. Auflage, Bern 2002, S. 758). Dr. G.___ beschrieb etwa mÃ¶gliche Wackelbewegungen im DIP des Ringfingers, welche starke Schmerzen verursachen wÃ¼rden und welche damit dem Einbezug des Ringfingers beim Feingriff entgegenstehen (Urk. 7/119 S. 1). Auch bei einer allfÃ¤lligen spÃ¤teren Arthrodese beider PIP-Gelenke oder den frÃ¼her geplant gewesenen Eingriffen ergÃ¤be sich im Vergleich zur Situation der aktuell berÃ¼cksichtigten Ausschaltung der mittelstÃ¤ndigen Langfinger funktionell keine wesentlich verÃ¤nderte Situation (vgl. Urk. 7/119 S. 2; vgl. auch Urk. 7/77, 7/39 S. 2).</w:t>
      </w:r>
    </w:p>
    <w:p>
      <w:r>
        <w:t>Â Â Â Â Â Â Â Â  Die EinschÃ¤tzung von Dr. G.___, die beschriebene Ausschaltung der Mittelfinger entspreche einem teilweisen Verlust der Mittel- und Ringfinger im PIP vermag zudem zu Ã¼berzeugen. Die Grundgelenke sind nach seinen ÃberprÃ¼fungen an sÃ¤mtlichen Langfingern frei beweglich (Urk. 7/119 S. 1). Aus diesem Grund und weil auch keine mit einer Amputation vergleichbare kosmetische BeeintrÃ¤chtigung besteht, rechtfertigte es sich namentlich nicht, eine einer vollstÃ¤ndigen Amputation von Mittel- und Ringfinger vergleichbare Situation anzunehmen (vgl. Tabelle 3, "IntegritÃ¤tsschaden bei einfachen oder kombinierten Finger-, Hand- und Armverlusten", Schema 37), die einen Schaden von 15 % ergÃ¤be. Der Tabellenwert bei Verlust der Mittel- und Ringfinger im PIP mit 10 % in Tabelle 3 entspricht zudem dem Anhang 3, welcher fÃ¼r den Verlust von mindestens zwei Gliedern eines Langfingers eine EntschÃ¤digung von 5 % vorsieht. Die Bemessung des IntegritÃ¤tsschadens fÃ¼r die somatischen Unfallfolgen ist damit nicht zu beanstanden.</w:t>
      </w:r>
    </w:p>
    <w:p>
      <w:r>
        <w:rPr>
          <w:b/>
        </w:rPr>
        <w:t>E. 4</w:t>
      </w:r>
    </w:p>
    <w:p>
      <w:r>
        <w:t>4.1Â Â Â Â  Zu prÃ¼fen bleibt damit, ob die Beschwerdegegnerin den Entscheid Ã¼ber eine allfÃ¤llige IntegritÃ¤tsentschÃ¤digung fÃ¼r psychische EinschrÃ¤nkungen zu Recht aufgeschoben hat.</w:t>
      </w:r>
    </w:p>
    <w:p>
      <w:r>
        <w:t>4.2Â Â Â Â  Die IntegritÃ¤tsentschÃ¤digung wird gemÃ¤ss Art. 24 Abs. 2 UVG mit der Invalidenrente festgesetzt oder, wenn kein Rentenanspruch besteht, bei der Beendigung der Ã¤rztlichen Behandlung gewÃ¤hrt. Aus dem Wortlaut von Art. 24 Abs. 2 UVG ergibt sich klar, dass die IntegritÃ¤tsentschÃ¤digung gleichzeitig mit der Invalidenrente festzusetzen ist, falls ein Rentenanspruch besteht. Ausnahmen von dieser Regel sieht das Gesetz nicht vor (BGE 113 V 52 Erw. 3b; vgl. Urteil des EidgenÃ¶ssischen Versicherungsgerichtes in Sachen M., C., E., F. und R. vom 23. Dezember 2004, U 105/03, Erw. 5.2).</w:t>
      </w:r>
    </w:p>
    <w:p>
      <w:r>
        <w:t>Â Â Â Â Â Â Â Â  Nach der Rechtsprechung des EidgenÃ¶ssischen Versicherungsgerichts kann bei der Anwendung von Art. 24 Abs. 2 UVG indessen nicht unbeachtet bleiben, dass die Voraussetzungen fÃ¼r die Zusprechung der Invalidenrente (Art. 19 Abs. 1 UVG) anders geregelt sind als diejenigen fÃ¼r die IntegritÃ¤tsentschÃ¤digung (Art. 36 UVV). Beim Rentenanspruch besteht die MÃ¶glichkeit nachtrÃ¤glicher Ãnderungen, indem die Rente revidiert werden kann, wenn sich der InvaliditÃ¤tsgrad erheblich geÃ¤ndert hat (Art. 22 UVG). DemgegenÃ¼ber muss bei der IntegritÃ¤tsentschÃ¤digung ein fÃ¼r allemal feststehen, dass die BeeintrÃ¤chtigung erheblich und dauernd ist und in welchem Umfang sie besteht (Art. 24 Abs. 1 UVG, Art. 36 Abs. 1 UVV). Dabei sind voraussehbare Verschlimmerungen des IntegritÃ¤tsschadens angemessen zu berÃ¼cksichtigen; revisionsweise Neubeurteilungen sind nach dem seit dem 1. Dezember 1998 in Kraft stehenden Art. 36 Abs. 4 UVV dagegen nur im Ausnahmefall mÃ¶glich, wenn die Verschlimmerung von grosser Tragweite ist und nicht voraussehbar war. Diese Unterschiede kÃ¶nnen dazu fÃ¼hren, dass der Anspruch auf die IntegritÃ¤tsentschÃ¤digung nicht zur gleichen Zeit beurteilt werden kann wie derjenige auf die Invalidenrente (vgl. BGE 113 V 52 Erw. 3b). Nach der Rechtsprechung des EidgenÃ¶ssischen Versicherungsgerichtes kann deshalb der Entscheid Ã¼ber die IntegritÃ¤tsentschÃ¤digung ausnahmsweise in einem spÃ¤teren Zeitpunkt erfolgen, wenn sich die materiellen Anspruchsvoraussetzungen im Zeitpunkt der RentenverfÃ¼gung noch nicht zuverlÃ¤ssig beurteilen lassen (BGE 113 V 53 Erw. 3b und 4). In einem solchen Fall hat der Versicherte bei nachtrÃ¤glicher Zusprache einer IntegritÃ¤tsentschÃ¤digung Anspruch auf einen Ausgleichszins von 5 % (BGE 113 V 53 Erw. 4). Dies deshalb, weil mit Art. 24 Abs. 2 UVG auch der Zeitpunkt festgelegt wird, in dem verfÃ¼gt werden muss, wobei die VerfÃ¼gung auch die Auszahlung der IntegritÃ¤tsentschÃ¤digung mitumfasst (BGE 113 V 53 Erw. 4).</w:t>
      </w:r>
    </w:p>
    <w:p>
      <w:r>
        <w:t>4.3Â Â Â Â  Die Beschwerdegegnerin fÃ¼hrte an, der adÃ¤quate Kausalzusammenhang der psychischen Beschwerden zum Unfall sei unbestritten. Als Grund fÃ¼r das Aufschieben des Entscheides fÃ¼hrte sie an, medizinisch-psychiatrisch kÃ¶nne eine Besserung oder Heilung der psychischen Beschwerden zum heutigen Zeitpunkt nicht ausgeschlossen werden. Eine definitive Beurteilung Ã¼ber die Dauerhaftigkeit der psychischen Befunde sei im August 2003 noch nicht mÃ¶glich gewesen (Urk. 6 S. 2).</w:t>
      </w:r>
    </w:p>
    <w:p>
      <w:r>
        <w:t>Â Â Â Â Â Â Â Â  AnlÃ¤sslich der Untersuchung vom 11. Juni 2002 erachtete Dr. F.___ die Beantwortung der Fragen der gesicherten Diagnose, der Arbeits- und ErwerbsunfÃ¤higkeit und der Prognose erst nach einem fortgesetzten Zugang zum BeschwerdefÃ¼hrer und einer Auseinandersetzung mit seiner subjektiven Sicht, seinen Erfahrungen sowie seiner Biographie als mÃ¶glich (Urk. 7/94 S. 13). Im Kurzbericht vom 12. Oktober 2002 gab Dr. E.___ an, es sei eine Chronifizierung und bleibende Behinderung zu erwarten (Urk. 7/100). GemÃ¤ss seinem Bericht vom 7. April 2003 war er im Verlauf der weiteren Therapie insbesondere der von Dr. F.___ aufgeworfenen Frage nach der Bedeutung der kÃ¶rperlichen IntegritÃ¤t fÃ¼r den Versicherten nachgegangen. Im Weiteren wies er auf die zwischenzeitlich eingetretene Verschlechterung der Symptome und die therapeutische Stagnation hin (Urk. 7/107). Am 17. Juli 2003 beurteilte er die Prognose als derzeit sehr schlecht. Nicht nur hÃ¤tten die therapeutischen Interventionen keine Ãnderung in Bezug auf die posttraumatische StÃ¶rung herbeifÃ¼hren kÃ¶nnen, sondern es hÃ¤tten sich auch zusÃ¤tzliche Symptome wie ein hinderliches Angstleiden mit multiplen phobischen Anteilen und weitere depressive Elemente sowie ein Ã¼berhandnehmendes soziales Unbehagen eingeschlichen (Urk. 7/114). In der zusÃ¤tzlichen psychiatrischen Aktenbeurteilung von Dr. F.___ vom 18. August 2003 gab diese an, die SchÃ¤tzung des IntegritÃ¤tsschadens kÃ¶nne aktuell noch nicht vorgenommen werden (Urk. 7/115). Diese UnmÃ¶glichkeit der SchÃ¤tzung erscheint plausibel, hatten sich die Symptome beim BeschwerdefÃ¼hrer doch trotz der laufenden Therapie verstÃ¤rkt und ausgeweitet. Von einer einigermassen stationÃ¤ren Situation, welche eine zuverlÃ¤ssige Lebenszeitprognose Ã¼ber Art, Dauer und Ausmass der psychischen EinschrÃ¤nkungen und damit eine zuverlÃ¤ssige Prognose auch hinsichtlich kÃ¼nftiger Verschlimmerungen des Zustandes, welche bei der Festsetzung der IntegritÃ¤tsentschÃ¤digung zu berÃ¼cksichtigen sind, zuliesse, konnte im August 2003 beziehungsweise im Zeitpunkt des Einspracheentscheides von MÃ¤rz 2004 nicht ausgegangen werden. Die Beschwerde ist damit auch insoweit abzuweisen, als die sofortige Zusprache einer IntegritÃ¤tsentschÃ¤digung fÃ¼r den psychischen Gesundheitsschaden verlangt worden ist.</w:t>
      </w:r>
    </w:p>
    <w:p>
      <w:r>
        <w:t>4.4Â Â Â Â  Bei der Bestimmung einer allfÃ¤lligen weiteren IntegritÃ¤tsentschÃ¤digung fÃ¼r den psychischen Gesundheitsschaden wird die Beschwerdegegnerin Art. 36 Abs. 3 UVV zu beachten haben (vgl. BGE 116 V 156 Erw. 3b; RKUV 1989 Nr. U 78 S. 366; Rumo-Jungo, Rechtsprechung zum Bundesgesetz Ã¼ber die Unfallversicherung, 2. Auflage, ZÃ¼rich 1995, S. 138). Im Weiteren wird die Beschwerdegegnerin gegebenenfalls auch Ã¼ber den Anspruch auf Ausgleichszins zu entscheiden haben.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Roland Ilg</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