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UV.2004.00039 vom 30. November 2004</w:t>
      </w:r>
    </w:p>
    <w:p>
      <w:r>
        <w:t>ZH Sozialversicherungsgericht, 2004-11-30, DE</w:t>
      </w:r>
    </w:p>
    <w:p>
      <w:r>
        <w:rPr>
          <w:b/>
        </w:rPr>
        <w:t xml:space="preserve">Quelle: </w:t>
      </w:r>
      <w:r>
        <w:t>https://mcp.opencaselaw.ch/entscheid/zh_sozialversicherungsgericht_UV.2004.00039</w:t>
      </w:r>
    </w:p>
    <w:p>
      <w:r>
        <w:t>FR: ZH_SOZIALVERSICHERUNGSGERICHT UV.2004.00039 du 30 novembre 2004</w:t>
      </w:r>
    </w:p>
    <w:p>
      <w:r>
        <w:t>IT: ZH_SOZIALVERSICHERUNGSGERICHT UV.2004.00039 del 30 novembre 2004</w:t>
      </w:r>
    </w:p>
    <w:p>
      <w:pPr>
        <w:pStyle w:val="Heading2"/>
      </w:pPr>
      <w:r>
        <w:t>Erwägungen</w:t>
      </w:r>
    </w:p>
    <w:p>
      <w:r>
        <w:rPr>
          <w:b/>
        </w:rPr>
        <w:t>E. 1.1</w:t>
      </w:r>
    </w:p>
    <w:p>
      <w:r>
        <w:t>Anfechtungsgegenstand bildet im vorliegenden Verfahren ausschliesslich der im Einspracheverfahren bestÃ¤tigte Rentenentscheid. Die diesbezÃ¼glichen gesetzlichen Grundlagen und die dazu entwickelte Praxis werden im Einspracheentscheid richtig wiedergegeben, weshalb darauf verwiesen werden kann. Zutreffend sind auch die AusfÃ¼hrungen zur Anwendbarkeit des vor Inkrafttreten des Bundesgesetzes Ã¼ber den Allgemeinen Teil des Sozialversicherungsrechts (ATSG) geltenden Rechts.</w:t>
      </w:r>
    </w:p>
    <w:p>
      <w:r>
        <w:rPr>
          <w:b/>
        </w:rPr>
        <w:t>E. 1.2</w:t>
      </w:r>
    </w:p>
    <w:p>
      <w:r>
        <w:t>BezÃ¼glich der vorliegend strittigen HÃ¶he des InvaliditÃ¤tsgrades ist Art. 18 Abs. 2 des Bundesgesetzes Ã¼ber die Unfallversicherung (UVG) massgebend. Danach wird fÃ¼r dessen Bestimmung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Nach Art. 28 Abs. 2 Satz 2 der Verordnung Ã¼ber die Unfallversicherung (UVV) wird die Behinderung in TÃ¤tigkeiten, die nicht nach dem Gesetz versichert oder nicht entlÃ¶hnt sind und die neben einer unselbstÃ¤ndigen TÃ¤tigkeit ausgeÃ¼bt werden, bei der Bestimmung des InvaliditÃ¤tsgrades nicht berÃ¼cksichtigt.</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w:t>
      </w:r>
    </w:p>
    <w:p>
      <w:r>
        <w:t>Â Â Â Â Â Â Â Â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IVV) ein BetÃ¤tigungsvergleich anzustellen und der InvaliditÃ¤tsgrad nach Massgabe der erwerblichen Auswirkungen der verminderten LeistungsfÃ¤higkeit in der konkreten erwerblichen Situation zu bestimmen.</w:t>
      </w:r>
    </w:p>
    <w:p>
      <w:r>
        <w:t>Der grundsÃ¤tzliche Unterschied des ausserordentlichen Bemessungsverfahrens zur spezifischen Methode (gemÃ¤ss Art. 28 Abs. 3 IVG in Verbindung mit Art. 27 bis Â und 27 Abs. 1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braucht aber nicht notwendigerweise eine Erwerbseinbusse gleichen Umfangs zur Folge zu haben. Wollte man bei ErwerbstÃ¤tigen ausschliesslich auf das Ergebnis des BetÃ¤tigungsvergleichs abstellen, so wÃ¤re der gesetzliche Grundsatz verletzt, wonach bei dieser Kategorie von Versicherten die InvaliditÃ¤t nach Massgabe der ErwerbsunfÃ¤higkeit zu bestimmen ist (Art. 28 Abs. 2 IVG; sogenanntes ausserordentliches Bemessungsverfahren; BGE 105 V 151, 104 V 136 Erw. 2c, 97 V 56; AHI-Praxis 1998 S. 120 f. Erw. 1a und S. 252 Erw. 2b je mit Hinweisen).</w:t>
      </w:r>
    </w:p>
    <w:p>
      <w:r>
        <w:t>Â Â Â Â Â Â Â Â  Die von der Rechtsprechung zu Art. 28 Abs. 2 IVG entwickelten Regeln Ã¼ber das ausserordentliche Bemessungsverfahren gelten grundsÃ¤tzlich auch in der Unfallversicherung, soweit nicht Gesetz oder andere Vorschriften ausdrÃ¼cklich etwas Abweichendes vorsehen (BGE V 313 Erw. 2c mit Hinweisen; RKUV 1996 Nr. U 237 S. 34).</w:t>
      </w:r>
    </w:p>
    <w:p>
      <w:r>
        <w:t>1.3Â Â Â Â  Nach der Rechtsprechung gilt im Gebiet der Invalidenversicherung ganz allgemein der Grundsatz, dass die invalide Person, bevor sie Leistungen verlangt, alles ihr Zumutbare selber vorzukehren hat, um die Folgen ihrer InvaliditÃ¤t bestmÃ¶glich zu mildern (BGE 127 V 297 Erw. 4b/cc, 113 V 28 Erw. 4a mit Hinweisen, vgl. auch BGE 121 V 190 ff.). Die Selbsteingliederung als Ausdruck der allgemeinen Schadenminderungspflicht ist eine Last, welche die versicherte Person auf sich zu nehmen hat, soll ihr Leistungsanspruch - auf gesetzliche Eingliederungsmassnahmen oder Rente - gewahrt bleiben (Meyer-Blaser, Zum VerhÃ¤ltnismÃ¤ssigkeitsgrundsatz im staatlichen Leistungsrecht, Diss. Bern 1985 S. 133 f.). Unter dem Gesichtspunkt der Schadenminderungspflicht kann der Wechsel von der selbstÃ¤ndigen auf eine unselbstÃ¤ndige ErwerbstÃ¤tigkeit als zumutbar erscheinen, wenn hievon eine bessere erwerbliche Verwertung der ArbeitsfÃ¤higkeit erwartet werden kann und der berufliche Wechsel unter BerÃ¼cksichtigung der gesamten UmstÃ¤nde (Alter, AktivitÃ¤tsdauer, Ausbildung, Art der bisherigen TÃ¤tigkeit, persÃ¶nliche LebensumstÃ¤nde) als zumutbar erscheint (vgl. etwa Urteil des EidgenÃ¶ssischen Versicherungsgerichts vom 17. August 2004 i.S. K., I 643/03, Erw. 3.2 mit Hinweisen).</w:t>
      </w:r>
    </w:p>
    <w:p>
      <w:r>
        <w:t>2.Â Â Â Â Â Â</w:t>
      </w:r>
    </w:p>
    <w:p>
      <w:r>
        <w:t>2.1Â Â Â Â  SUVA-Kreisarzt Dr. med. B.___, Spezialarzt FMH fÃ¼r Chirurgie, stellte im Bericht vom 15. Oktober 2002 (Urk. 7/33-34) eine mÃ¤ssige Belastungs- und Bewegungsintoleranz des rechten Kniegelenks entsprechend einer mÃ¤ssigen Pangonarthrose mit einer Funktionseinbusse fest, die beim Stehen bereits nach wenigen Minuten, bei leichtem Gehen nach einer Stunde und bei einer Zusatzbelastung sofort auftrete. Knieende TÃ¤tigkeiten seien nicht mehr mÃ¶glich. Dr. B.___ wies darauf hin, dass seit dem letzten Rezidiv-Infekt vor zwei Jahren wegen der mÃ¤ssigen Belastungs- und Bewegungsintoleranz nie mehr eine volle ArbeitsfÃ¤higkeit erreicht worden sei. Der Versicherte habe als selbstÃ¤ndiger Garagist seinen Betrieb umstellen mÃ¼ssen und benÃ¶tige nun die Hilfe seines Sohnes sowie eines zusÃ¤tzlichen Hilfsmechanikers. Leichtere Arbeiten kÃ¶nne er weiterhin im Rahmen von 30 % verrichten, bei voller AusnÃ¼tzung der Zumutbarkeit sogar im Rahmen von 70 %, wobei Dr. B.___ bemerkte, der letztgenannte Wert entspreche seiner persÃ¶nlichen EinschÃ¤tzung, wenn alle Strategien und MÃ¶glichkeiten optimal ausgenÃ¼tzt wÃ¼rden. FÃ¼r eine volle TÃ¤tigkeit als Automechaniker sei eine ArbeitsunfÃ¤higkeit von 30 bis 50 % gerechtfertigt. Auf dem freien Arbeitsmarkt wÃ¤re der Versicherte voll und ganztÃ¤gig entsprechend dem Zumutbarkeitsprofil einsetzbar. Dieses umschrieb Dr. B.___ wie folgt (Urk. 7/34 S. 2):</w:t>
      </w:r>
    </w:p>
    <w:p>
      <w:r>
        <w:t>ÂGanztÃ¤gige wechselbelastende TÃ¤tigkeiten gehend-stehend-sitzend, vor allem auf einer tischhohen ArbeitsflÃ¤che ohne Heben von schwereren GegenstÃ¤nden Ã¼ber 20 Kilogramm, nicht repetitiv. TÃ¤tigkeiten auf der ArbeitsflÃ¤che unbeschrÃ¤nkt. Treppensteigen, Arbeiten auf Leitern, Tritten oder GerÃ¼sten nicht mÃ¶glich. Knieende TÃ¤tigkeiten nicht mÃ¶glich, hockend nur vereinzelt kurzzeitig ohne Zusatzbelastung.</w:t>
      </w:r>
    </w:p>
    <w:p>
      <w:r>
        <w:t>Aufgrund seiner Ausbildung und seiner Stellung als selbststÃ¤ndiger Garagist wÃ¤re es meines Erachtens am besten, der Patient wÃ¼rde eine Strategie entwickeln, um eine mÃ¶glichst hohe ArbeitsfÃ¤higkeit in seiner eigenen Werkstatt zu erreichen. MÃ¶glich wÃ¤ren - bei optimalen Bedingungen - 20 bis 30 % ArbeitsunfÃ¤higkeit.Â</w:t>
      </w:r>
    </w:p>
    <w:p>
      <w:r>
        <w:t>2.2 Ausgehend von dieser Zumutbarkeitsbeurteilung ermittelte die SUVA die invaliditÃ¤tsbedingte Einkommenseinbusse auf der Grundlage der im Unfallzeitpunkt ausgeÃ¼bten unselbstÃ¤ndigen TÃ¤tigkeit bei der A.___ AG und liess die nachtrÃ¤gliche Aufnahme einer selbstÃ¤ndiger TÃ¤tigkeit als Automechaniker ausser Acht. Den bei Beibehaltung der unselbstÃ¤ndigen ErwerbstÃ¤tigkeit im Zeitpunkt des Rentenbeginns erzielbaren Validenlohn bemass sie mit Fr. 58'050.--. Dementsprechend beruht auch das im Einspracheentscheid angefÃ¼hrte Invalideneinkommen auf den in einer unselbstÃ¤ndigen ErwerbstÃ¤tigkeit bestehenden VerdienstmÃ¶glichkeiten, die anhand des in Tabelle A1 der Schweizerischen Lohnstrukturerhebung (LSE) fÃ¼r das Jahr 2000 ermittelten Zentralwerts von Fr. 4'437.--, einer durchschnittlichen Arbeitszeit von 41,7 Wochenstunden, unter BerÃ¼cksichtigung der seit 2000 bis zum Rentenbeginn eingetretenen Nominallohnentwicklung von 2,5 % und 1,8 % sowie eines Abzuges von 15 % mit Fr. 49'224.-- beziffert werden. Die SUVA macht geltend, da der BeschwerdefÃ¼hrer im Zeitpunkt des Unfalls unselbstÃ¤ndig erwerbstÃ¤tig gewesen sei, komme Art. 28 Abs. 2 Satz 2 der Verordnung Ã¼ber die Unfallversicherung (UVV) zur Anwendung.</w:t>
      </w:r>
    </w:p>
    <w:p>
      <w:r>
        <w:t>2.3 DemgegenÃ¼ber verlangt der BeschwerdefÃ¼hrer unter Berufung auf Dr. B.___s Feststellung, dass in Bezug auf eine volle TÃ¤tigkeit als Automechaniker eine ArbeitsunfÃ¤higkeit von 30 bis 50 % gerechtfertigt sei, die Anerkennung eines 50%igen InvaliditÃ¤tsgrades. Er macht zudem geltend, es sei ihm nicht zuzumuten, die selbstÃ¤ndige ErwerbstÃ¤tigkeit aufzugeben. Bei der gegebenen Betriebsstruktur nehme die Verlagerung seiner TÃ¤tigkeit von den kÃ¶rperlich belastenden Servicereparaturen auf den Occasionshandel lÃ¤ngere Zeit in Anspruch, mÃ¼sse doch das dazu erforderliche Kapital zuerst erarbeitet werden (Urk. 1 S. 7).</w:t>
      </w:r>
    </w:p>
    <w:p>
      <w:r>
        <w:rPr>
          <w:b/>
        </w:rPr>
        <w:t>E. 3</w:t>
      </w:r>
    </w:p>
    <w:p>
      <w:r>
        <w:t>3.1Â Â Â Â  Von seinem Wortlaut her bezieht sich Art. 28 Abs. 2 Satz 2 UVV, auf den sich die SUVA beruft, eindeutig auf mehrere gleichzeitig ausgeÃ¼bte ErwerbstÃ¤tigkeiten, die nicht alle obligatorisch oder freiwillig nach UVG versichert sind, nicht aber auf versicherte und nicht versicherte ErwerbstÃ¤tigkeiten, die zeitlich nacheinander ausgeÃ¼bt werden. Dass nur die den Versicherungsschutz begrÃ¼ndende TÃ¤tigkeit Ausgangspunkt fÃ¼r die InvaliditÃ¤tsbemessung bilden kann, erscheint bei der der genannten Bestimmung zugrunde liegenden Konstellation als selbstverstÃ¤ndlich, soll doch grundsÃ¤tzlich die Beitragspflicht mit dem Umfang des Versicherungsschutzes korrelieren.</w:t>
      </w:r>
    </w:p>
    <w:p>
      <w:r>
        <w:t>Â Â Â Â Â Â Â Â  Zur Anwendung von Art. 28 Abs. 2 Satz 2 UVV im vorliegenden Fall, in dem die im Zeitpunkt des Unfalls bestehende unselbstÃ¤ndige ErwerbstÃ¤tigkeit vor dem zur InvaliditÃ¤t fÃ¼hrenden RÃ¼ckfall zugunsten einer selbstÃ¤ndigen ErwerbstÃ¤tigkeit aufgegeben worden ist, besteht hingegen kein Anlass. Wenn auch die VerdienstverhÃ¤ltnisse im Zeitpunkt des Unfalles bei der Ermittlung des InvaliditÃ¤tsgrades einen wichtigen Anhalts- und Ausgangspunkt darstellen, so ist doch entscheidend, was die versicherte Person im massgebenden Zeitpunkt, das heisst im Zeitpunkt des Rentenbeginns (BGE 128 V 174), nach dem Beweisgrad der Ã¼berwiegenden Wahrscheinlichkeit ohne versicherte gesundheitliche BeeintrÃ¤chtigung tatsÃ¤chlich verdienen wÃ¼rde (vgl. RKUV 1993 Nr. U 168 S. 100 f. Erw. 3b mit Hinweisen; vgl. ferner fÃ¼r viele Urteil des EidgenÃ¶ssischen Versicherungsgerichts vom 18. MÃ¤rz 2004 i. Sa. P., U 178/03, Erw. 2.2). Die EinschrÃ¤nkung auf versicherte TÃ¤tigkeiten wird daher in dem vom BeschwerdefÃ¼hrer angefÃ¼hrten Zitat von Omlin zu Recht als zu weitgehend beurteilt, weil die mutmassliche berufliche Entwicklung ohne Unfall nachzuzeichnen sei und bei BerÃ¼cksichtigung selbstÃ¤ndiger, nicht versicherter TÃ¤tigkeiten die Ãquivalenz zwischen Versicherungsleistungen und -beitrÃ¤ge insofern gewahrt werde, als fÃ¼r die Rentenberechnung das ursprÃ¼ngliche VersicherungsverhÃ¤ltnis beziehungsweise der innerhalb eines Jahres vor dem Unfall bezogene Lohn massgebend ist (vgl. Urk. 1 S. 5, ferner Art. 15 Abs. 2 UVG; Omlin, Die InvaliditÃ¤t in der obligatorischen Unfallversicherung, Freiburg 1995, S. 171 f.).</w:t>
      </w:r>
    </w:p>
    <w:p>
      <w:r>
        <w:t>Â Â Â Â Â Â Â Â  Da der BeschwerdefÃ¼hrer nach dem Unfall eine selbstÃ¤ndige ErwerbstÃ¤tigkeit aufnahm und diese auch nach dem RÃ¼ckfall und der dadurch bewirkten dauernden Behinderung im rechten Knie weiterfÃ¼hrte, kann mit Ã¼berwiegender Wahrscheinlichkeit davon ausgegangen werden, dass er auch im Gesundheitsfall selbstÃ¤ndig erwerbend geblieben wÃ¤re. Folglich muss dieser Tatsache beim Einkommensvergleich grundsÃ¤tzlich Rechnung getragen werden.</w:t>
      </w:r>
    </w:p>
    <w:p>
      <w:r>
        <w:rPr>
          <w:b/>
        </w:rPr>
        <w:t>E. 3.2</w:t>
      </w:r>
    </w:p>
    <w:p>
      <w:r>
        <w:t>Entgegen der vom BeschwerdefÃ¼hrer vertretenen Auffassung kann die HÃ¶he des InvaliditÃ¤tsgrades nicht ohne weiteres mit dem oberen Wert der ArbeitsunfÃ¤higkeit gleichgesetzt werden, die ihm der Kreisarzt fÃ¼r eine volle AutomechanikertÃ¤tigkeit bescheinigt, sind doch fÃ¼r die InvaliditÃ¤tsbemessung nicht die prozentualen behinderungsbedingten EinschrÃ¤nkungen in einer konkreten TÃ¤tigkeit massgebend, sondern deren erwerbliche Auswirkungen. Wie diese vorliegend ermittelt werden kÃ¶nnen, ist allerdings fraglich.</w:t>
      </w:r>
    </w:p>
    <w:p>
      <w:r>
        <w:t>Â Â Â Â Â Â Â Â  So kann aufgrund der vorhandenen Unterlagen nicht abschliessend beurteilt werden, ob ein Einkommensvergleich, bei dem beispielsweise die Gewinn- und Umsatzzahlen vor und nach Eintritt der InvaliditÃ¤t des BeschwerdefÃ¼hrers miteinander verglichen werden, zu einem aussagekrÃ¤ftigen Resultat fÃ¼hrt oder ob der Erwerbsausfall sich besser anhand des behinderungsbedingten Mehraufwandes - allenfalls in Form von Auslagerungen bestimmter Arbeiten oder der vom BeschwerdefÃ¼hrer erwÃ¤hnten Anstellung eines Mitarbeiters (Urk. 7/43 S. 1) - ermitteln lÃ¤sst. Denn der Mitte 2000 aufgenommene Garagebetrieb befand sich beim InvaliditÃ¤tseintritt im November 2001 noch im Aufbau. Dass sich gemÃ¤ss Jahresabschluss 2002 (Urk. 7/47) in diesem Jahr nur ein bescheidener Betriebsgewinn ergab und im Vorjahr Ã¼berhaupt keiner, wird daher kaum ausschliesslich mit dem Gesundheitsschaden des BeschwerdefÃ¼hrers zusammenhÃ¤ngen, mÃ¼sste aber aufgrund des GeschÃ¤ftsgangs bis November 2001 nÃ¤her abgeklÃ¤rt werden. Dazu liegen aber bis auf den erwÃ¤hnten Jahresabschluss 2002 (Urk. 7/47) keine Buchhaltungsunterlagen vor. Um entscheiden zu kÃ¶nnen, ob und in welcher Form ein Einkommensvergleich durchfÃ¼hrbar ist, ist folglich der Beizug der gesamten Buchhaltung ab Betriebsaufnahme unumgÃ¤nglich, weshalb die Sache in Aufhebung des angefochtenen Einspracheentscheides an die SUVA zurÃ¼ckzuweisen ist.</w:t>
      </w:r>
    </w:p>
    <w:p>
      <w:r>
        <w:t>Â Â Â Â Â Â Â Â  Die genauen Umsatz- und Auftragszahlen werden aber auch RÃ¼ckschlÃ¼sse auf das Entwicklungspotential des Garagenbetriebs des BeschwerdefÃ¼hrers zulassen, so dass eine Beurteilung der sich unter dem Gesichtspunkt der Schadenminderungspflicht stellenden Fragen, ob dem BeschwerdefÃ¼hrer die Wiedeaufnahme einer unselbstÃ¤ndigen, seiner Behinderung besser angepassten TÃ¤tigkeit als diejenige eines (selbstÃ¤ndigen) Automechanikers zumutbar ist, Ã¼berhaupt erst mÃ¶glich sein wird. Dabei werden auch die Betriebsstruktur, der berufliche Werdegang des BeschwerdefÃ¼hrers, die familiÃ¤ren Aspekte - sein Sohn unterstÃ¼tzt ihn bei den anfallenden Arbeiten (Urk. 7/18 S. 2, Urk. 7/43 S. 1) - und die mit dem Schritt in die SelbstÃ¤ndigkeit verbundenen Investitionen (vgl. Urk. 1 S. 6) zu berÃ¼cksichtigen sein. Schliesslich sind die wirtschaftlichen Gegebenheiten auch im Zusammenhang mit der sich allenfalls stellenden Frage von Bedeutung, inwieweit innerhalb des Betriebs Umstellungen vorgenommen werden kÃ¶nnen, um den nach Beurteilung des SUVA-Kreisarztes doch erheblichen behinderungsbedingten Ausfall des BeschwerdefÃ¼hrers als Automechaniker auszugleichen.</w:t>
      </w:r>
    </w:p>
    <w:p>
      <w:r>
        <w:t>3.3Â Â Â Â  Zu dem im Verwaltungsverfahren vorgenommenen BetÃ¤tigungsvergleich, in dem hinsichtlich des Aufgabenbereichs des BeschwerdefÃ¼hrers in seinem Garagenbetrieb zwischen den zirka 70 % der Arbeitszeit beanspruchenden Service- und Reparaturarbeiten einerseits und der Ã¼brigen, zirka 30%igen TÃ¤tigkeit im Zusammenhang mit dem An- und Verkauf sowie dem VorfÃ¼hren der Autos andererseits unterschieden und nur der letztgenannte Bereich als dem BeschwerdefÃ¼hrer weiterhin mÃ¶glich bezeichnet wird (Urk. 7/18 S. 2, Urk. 7/42-43), ist folgendes festzuhalten: Dieser bildet schon deshalb keine ausreichende Grundlage fÃ¼r die InvaliditÃ¤tsermittlung in einem allfÃ¤lligen ausserordentlichen Bemessungsverfahren, weil die verschiedenen Aufgabenbereiche und die diesbezÃ¼glichen behinderungsbedingten EinschrÃ¤nkungen erwerblich nicht gewichtet werden. Auch wird innerhalb der beiden Bereiche nicht weiter differenziert, was dem BeschwerdefÃ¼hrer anhand der Zumutbarkeitsbeurteilung des Kreisarztes invaliditÃ¤tsbedingt noch mÃ¶glich wÃ¤re und was nicht.</w:t>
      </w:r>
    </w:p>
    <w:p>
      <w:r>
        <w:rPr>
          <w:b/>
        </w:rPr>
        <w:t>E. 4</w:t>
      </w:r>
    </w:p>
    <w:p>
      <w:r>
        <w:t>Zustellung gegen Empfangsschein an:</w:t>
      </w:r>
    </w:p>
    <w:p>
      <w:r>
        <w:t>- Rechtsanwalt Dominique Chopard</w:t>
      </w:r>
    </w:p>
    <w:p>
      <w:r>
        <w:t>- Rechtsanwalt Dr. Beat Frischkopf</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