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UV.2001.00165 vom 25. August 2003</w:t>
      </w:r>
    </w:p>
    <w:p>
      <w:r>
        <w:t>ZH Sozialversicherungsgericht, 2003-08-25, DE</w:t>
      </w:r>
    </w:p>
    <w:p>
      <w:r>
        <w:rPr>
          <w:b/>
        </w:rPr>
        <w:t xml:space="preserve">Quelle: </w:t>
      </w:r>
      <w:r>
        <w:t>https://mcp.opencaselaw.ch/entscheid/zh_sozialversicherungsgericht_UV.2001.00165</w:t>
      </w:r>
    </w:p>
    <w:p>
      <w:r>
        <w:t>FR: ZH_SOZIALVERSICHERUNGSGERICHT UV.2001.00165 du 25 août 2003</w:t>
      </w:r>
    </w:p>
    <w:p>
      <w:r>
        <w:t>IT: ZH_SOZIALVERSICHERUNGSGERICHT UV.2001.00165 del 25 agosto 2003</w:t>
      </w:r>
    </w:p>
    <w:p>
      <w:pPr>
        <w:pStyle w:val="Heading2"/>
      </w:pPr>
      <w:r>
        <w:t>Erwägungen</w:t>
      </w:r>
    </w:p>
    <w:p>
      <w:r>
        <w:rPr>
          <w:b/>
        </w:rPr>
        <w:t>E. 2</w:t>
      </w:r>
    </w:p>
    <w:p>
      <w:r>
        <w:t>Dagegen liess H.___ am 21. Dezember 2001 Beschwerde erheben und beantragen, der angefochtene Entscheid sei aufzuheben, und sie sei mit den entsprechenden Taggeld- und Rentenfolgen ab 17. Januar 1999 als zu 100 % arbeitsunf?hig anzusehen. Ausserdem sei die Integrit?tsentsch?digung neu festzusetzen. Des Weitern liess sie die Bestellung eines unentgeltlichen Rechtsbeistandes in der Person von Rechtsanwalt Daniel Vischer beantragen. Die Beschwerdegegnerin schloss in der Vernehmlassung vom 15. April 2002 auf Abweisung der Beschwerde (Urk. 12). Am 24. April 2002 lehnte das Gericht das Gesuch um Gew?hrung der unentgeltlichen Rechtsvertretung ab und ordnete einen zweiten Schriftenwechsel an (Urk. 14). Mit der Replik vom 4. Oktober 2002 liess die Beschwerdef?hrerin eine neue Begutachtung beantragen und mitteilen, dass sie am 16. November 2001 wiederum einen Autounfall erlitten und sich dabei ein weiteres Distorsionstrauma der HWS zugezogen habe. Zust?ndiger Unfallversicherer sei die Schweizerische Unfallversicherungsgesellschaft (SUVA) (Urk. 19). Die Beschwerdegegnerin hielt in der Duplik vom 10. Januar 2003 am Antrag auf Abweisung der Beschwerde fest und erg?nzte ihre Argumentation damit, dass angesichts des dritten Unfalls und der diesbez?glichen Zust?ndigkeit der SUVA ihre Passivlegitimation gest?tzt auf Art. 100 Abs. 2 der Verordnung ?ber die Unfallversicherung (UVV) entfallen sei, weshalb die Beschwerde ohnehin abzuweisen sei (Urk. 25). Nachdem die Beschwerdef?hrerin am 18. Juni 2003 hierzu hatte Stellung nehmen lassen (Urk. 34), wurde der Schriftenwechsel am 27. Juni 2003 geschlossen (Urk. 35).</w:t>
      </w:r>
    </w:p>
    <w:p>
      <w:r>
        <w:t>???????? Auf die Vorbringen der Parteien und die eingereichten Akten ist, soweit f?r die Entscheidfindung erforderlich, in den Erw?gungen einzugehen.</w:t>
      </w:r>
    </w:p>
    <w:p>
      <w:r>
        <w:t>Das Gericht zieht in Erw?gung:</w:t>
      </w:r>
    </w:p>
    <w:p>
      <w:r>
        <w:t>1.??????</w:t>
      </w:r>
    </w:p>
    <w:p>
      <w:r>
        <w:t>1.1???? Formell l?sst die Beschwerdegegnerin aufgrund des dritten, nunmehr SUVA-versicherten Unfallereignisses vom 16. November 2001 ihre Passivlegitimation bestreiten (Urk. 25 S. 4; zum prozessualen Charakter der Passivlegitimation in der Verwaltungsrechtspflege vgl.: Christian Z?nd, Kommentar zum Gesetz ?ber das Sozialversicherungsgericht des Kantons Z?rich, Z?rich 1999, N 13 zu ? 13).</w:t>
      </w:r>
    </w:p>
    <w:p>
      <w:r>
        <w:t>1.2???? Gem?ss der gest?tzt auf Art. 77 des Bundesgesetzes ?ber die Unfallversicherung (UVG) erlassenen Bestimmung von Art. 100 UVV ist der bisher leistungspflichtige Versicherer verpflichtet, auch die Leistungen f?r einen neuen Unfall zu erbringen, wenn die versicherte Person erneut verunfallt, w?hrend sie wegen eines versicherten Unfalles noch behandlungsbed?rftig, arbeitsunf?hig und versichert ist (Abs. 1). Verunfallt die versicherte Person w?hrend der Heilungsdauer eines oder mehrerer Unf?lle, aber nach der Wiederaufnahme einer versicherten T?tigkeit, erneut und l?st der neue Unfall Anspruch auf Taggeld aus, so erbringt der f?r den neuen Unfall leistungspflichtige Versicherer auch die Leistungen f?r die fr?heren Unf?lle. Die andern beteiligten Versicherer verg?ten ihm diese Leistungen, ohne Teuerungszulagen, nach Massgabe der Verursachung; damit ist ihre Leistungspflicht abgegolten (Abs. 2).</w:t>
      </w:r>
    </w:p>
    <w:p>
      <w:r>
        <w:t>1.3 Unabh?ngig von der Frage, ob Art. 100 Abs. 2 UVV ?berhaupt beigezogen werden k?nnte, um die mangelnde Passivlegitimation im Falle mehrerer, von verschiedenen Versicherern versicherter Unf?lle zu begr?nden, ist vorliegend nicht auf diese Bestimmung abzustellen, da der zu pr?fende Sachverhalt lediglich den Zeitraum bis zum Erlass des angefochtenen Entscheides vom 21. September 2001 betrifft (BGE 121 V 366 Erw. 1b mit Hinweisen), und sich der dritte Unfall erst am 16. November 2001, mithin nach Erlass des Einspracheentscheides ereignete. Die Leistungspflicht der SUVA kann folglich fr?hestens in diesem Zeitpunkt einsetzen, und erst betreffend die Leistungen ab diesem Zeitpunkt stellt sich die Frage, ob sie von der Beschwerdegegnerin oder von der SUVA ausgerichtet werden m?ssten, so dass die Passivlegitimation der Beschwerdegegnerin f?r das vorliegende Verfahren ohne weiteres zu bejahen ist.</w:t>
      </w:r>
    </w:p>
    <w:p>
      <w:r>
        <w:rPr>
          <w:b/>
        </w:rPr>
        <w:t>E. 2.2</w:t>
      </w:r>
    </w:p>
    <w:p>
      <w:r>
        <w:t>Materiell streitig ist das unfallbedingte Ausmass der Einschr?nkung der Arbeitsf?higkeit seit 17. Januar 1999. Die H?he der Integrit?tsentsch?digung bildet weder Gegenstand der Verf?gung vom 25. Juni 2001 (Urk. 13/87) noch des angefochtenen Entscheids vom 21. September 2001 (Urk. 2). Der Antrag der Beschwerdef?hrerin auf Neufestsetzung der Integrit?tsentsch?digung liegt somit ausserhalb des Anfechtungsgegenstandes, weshalb darauf nicht einzutreten ist. In Bezug auf die Pr?fung der unfallbedingten Arbeitsunf?higkeit und der dadurch bedingten, von der Beschwerdegegnerin zu erbringenden Leistungen stellt sich die Frage, unter welchem Rechtstitel dieselbe vorzunehmen ist beziehungsweise vorgenommen werden kann. Der unangefochten in Rechtskraft erwachsene Einspracheentscheid vom 4. Juli 2000 (Urk. 13/74), welcher die unfallbedingten Arbeitsunf?higkeitsgrade und die damit einhergehenden Taggeldleistungen und Heilkosten regelt, schliesst die Frage der Arbeitsf?higkeit ab 17. Januar 1999 bis zum Zeitpunkt des Erlasses des Entscheides am 4. Juli 2000 mit ein. Daher ist zun?chst zu pr?fen, ob f?r die neuerliche Pr?fung der Leistungspflicht der Beschwerdegegnerin bis zum 4. Juli 2000 ein rechtsgen?glicher R?ckkommenstitel gegeben ist.</w:t>
      </w:r>
    </w:p>
    <w:p>
      <w:r>
        <w:t>2.3????? 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2.4????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(BGE 126 V 23 Erw. 4b, 46 Erw. 2b, 125 V 389 Erw. 3, je mit Hinweisen). Nach der Rechtsprechung des Eidgen?ssischen Versicherungsgerichtes kann die Verwaltung allerdings weder von der betroffenen Person noch vom Gericht zu einer Wiedererw?gung verhalten werden (BGE 119 V 183 Erw. 3a). Es besteht darum kein gerichtlich durchsetzbarer Anspruch auf Wiedererw?gung. Verf?gungen, mit denen das Eintreten auf ein Wiedererw?gungsgesuch abgelehnt wird, sind demnach grunds?tzlich nicht anfechtbar. Wenn die Verwaltung hingegen auf ein Wiedererw?gungsgesuch eintritt, die Wiedererw?gungsvoraussetzungen pr?ft und anschliessend einen erneut ablehnenden Sachentscheid trifft, ist dieser beschwerdeweise anfechtbar. Die nachfolgende gerichtliche ?berpr?fung hat sich in einem solchen Falle indessen auf die Frage zu beschr?nken, ob die Voraussetzungen f?r eine Wiedererw?gung der best?tigten Verf?gung gegeben sind. Prozessthema ist also diesfalls, ob die Verwaltung zu Recht die urspr?ngliche, formell rechtskr?ftige Verf?gung nicht als zweifellos unrichtig und/oder ihre Korrektur als von unerheblicher Bedeutung qualifizierte (BGE 117 V 12 Erw. 2a).</w:t>
      </w:r>
    </w:p>
    <w:p>
      <w:r>
        <w:t>???????? Von der Wiedererw?gung ist die so genannte prozessuale Revision von Verwaltungsverf?gungen zu unterscheiden. Danach ist die Verwaltung verpflichtet, auf eine formell rechtskr?ftige Verf?gung zur?ckzukommen, wenn neue Tatsachen oder neue Beweismittel entdeckt werden, die geeignet sind, zu einer anderen rechtlichen Beurteilung zu f?hren (BGE 127 V 469 Erw. 2c mit Hinweisen). Erheblich k?nnen nur Tatsachen sein, die zur Zeit der Erstbeurteilung bereits bestanden, jedoch unverschuldeterweise unbekannt waren oder unbewiesen blieben (BGE 119 V 184 Erw. 3a, 477 Erw. 1a, je mit Hinweisen).</w:t>
      </w:r>
    </w:p>
    <w:p>
      <w:r>
        <w:rPr>
          <w:b/>
        </w:rPr>
        <w:t>E. 3</w:t>
      </w:r>
    </w:p>
    <w:p>
      <w:r>
        <w:t>Zustellung gegen Empfangsschein an:</w:t>
      </w:r>
    </w:p>
    <w:p>
      <w:r>
        <w:t>- Rechtsanwalt Daniel Vischer</w:t>
      </w:r>
    </w:p>
    <w:p>
      <w:r>
        <w:t>- Rechtsanwalt Dr. J?rg Baur</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