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SR.2019.00012 vom 20. Mai 2021</w:t>
      </w:r>
    </w:p>
    <w:p>
      <w:r>
        <w:t>ZH Sozialversicherungsgericht, 2021-05-20, DE</w:t>
      </w:r>
    </w:p>
    <w:p>
      <w:r>
        <w:rPr>
          <w:b/>
        </w:rPr>
        <w:t xml:space="preserve">Quelle: </w:t>
      </w:r>
      <w:r>
        <w:t>https://mcp.opencaselaw.ch/entscheid/zh_sozialversicherungsgericht_SR.2019.00012</w:t>
      </w:r>
    </w:p>
    <w:p>
      <w:r>
        <w:t>FR: ZH_SOZIALVERSICHERUNGSGERICHT SR.2019.00012 du 20 mai 2021</w:t>
      </w:r>
    </w:p>
    <w:p>
      <w:r>
        <w:t>IT: ZH_SOZIALVERSICHERUNGSGERICHT SR.2019.00012 del 20 maggio 2021</w:t>
      </w:r>
    </w:p>
    <w:p>
      <w:pPr>
        <w:pStyle w:val="Heading2"/>
      </w:pPr>
      <w:r>
        <w:t>Erwägungen</w:t>
      </w:r>
    </w:p>
    <w:p>
      <w:r>
        <w:rPr>
          <w:b/>
        </w:rPr>
        <w:t>E. 1</w:t>
      </w:r>
    </w:p>
    <w:p>
      <w:r>
        <w:t>Die Klägerinnen , vertreten durch santésuisse , erhoben mit Eingabe vom 5. Juli 2019 , gleichen tags zur Post gegeben (Urk. 1 samt Beilagen [Urk. 2/ 5-7 und Urk. 2/9-10 ]), Klage gegen med. pract . X.___</w:t>
      </w:r>
    </w:p>
    <w:p>
      <w:r>
        <w:t>und beantragten, der Beklagte sei für das Jahr 2017 gemäss Regressions -Index zur Rückzahlung von Fr. 49’702 .--, eventuell gemäss ANOVA-Index zur Rü ckzahlung von Fr. 43’479 .- - an die Klägerinnen zu verpflichten. Es sei davon Vormerk zu nehmen, dass sich die Klägerinnen das Recht vorbehielten, den Rückforderungsbetrag nach Ab schluss des Beweisverfahrens anzupassen. Der Beklagte sei sodann definitiv von der Tätigkeit zulasten der obligatorischen Krankenversicherung auszuschliessen. In prozessualer Hinsicht wurde die Sistierung des Gerichtsverfahrens bis zum Ab schluss des Verfahrens vor der Kantonalen Paritätischen Kommission (KPK), längstens jedoch um ein Jahr, beantragt. Bei Wiederaufnahme des Klageverfah rens vor Schiedsgericht sei, sofern gesetzlich beziehungsweise sachlich notwen dig, ein Vermittlungsverfahren durchzuführen . Das vorliegende Verfahren sei mit den Verfahren S R. 2016.00003 und SR. 2018.00009 (recte: SR.2018.00010) zu vereinigen (Urk. 1 S. 3). Am 12. September 2019 erkundigte sich das Gericht bei der santésuisse nach den bisherigen Entwicklungen in den sistierten Verfahren SR.2016.00003 und SR. 2018.00010 und wurde dahingehend informiert, dass ein Anwalt mandatiert worden sei, welcher die Aufhebung der Sistierungen beantra gen werde (Urk. 3). Angesichts dessen wurde auf eine formelle Sistierung des vorliegenden Verfahrens verzichtet und dem Beklagten m it Verfügung vom 12. September 2019 (Urk. 4; vgl. auch Urk. 3) Frist angesetzt zur Erstattung einer freiwilligen schr iftlichen Stellungnahme , welche er ungenutzt verstreichen liess .</w:t>
      </w:r>
    </w:p>
    <w:p>
      <w:r>
        <w:rPr>
          <w:b/>
        </w:rPr>
        <w:t>E. 1.1</w:t>
      </w:r>
    </w:p>
    <w:p>
      <w:r>
        <w:t>Gemäss Art. 89 Abs. 1 des Bundesgesetzes über die Krankenversicherung (KVG ) sind Streitigkeiten zwischen Versicherern und Leistungserbringern durch ein Schiedsgericht zu entscheiden. Zuständig ist das Schiedsgericht desjenigen Kan tons, dessen Tarif zur Anwendung gelangt, oder desjenigen Kantons, in dem die ständige Einrichtung des Leistungserbringers liegt (Art. 89 Abs. 2 KVG) . Im Kanton Zürich werden Streitigkeiten nach Art. 89 KVG vom Schiedsgericht in Sozial versicherungsstreitigkeiten, welches dem Sozialversicherungsgericht des Kantons Zürich angegliedert ist, als einziger kantonaler Instanz beurteilt (§ 35 f. des Gesetzes über das Sozialversicherungsgericht [ GSVGer ]).</w:t>
      </w:r>
    </w:p>
    <w:p>
      <w:r>
        <w:rPr>
          <w:b/>
        </w:rPr>
        <w:t>E. 1.2</w:t>
      </w:r>
    </w:p>
    <w:p>
      <w:r>
        <w:t>Im Klageverfahren ergibt sich der Streitgegenstand einzig aus den Rechtsbe geh ren der Klage. Innerhalb des Streitgegenstands ist das Schiedsgericht in Sozial versicherungsstreitigkeiten in Durchbrechung der Dispositionsmaxime an die Begehren der Parteien nicht gebunden (vgl. BGE 135 V 23 E. 3.1 sowie § 37 in Verbindung mit § 25 GSVGer ). Das Schiedsgericht stellt unter Mitwirkung der Parteien die für den Entscheid erheblichen Tatsachen fest; es erhebt die notwen digen Beweise und ist in der Beweiswürdigung frei (Art. 89 Abs. 5 zweiter Halb satz KVG und § 37 in Verbindung mit § 23 Abs. 1 GSVGer ) . Eine Partei ist säu mig, wenn sie eine Prozesshandlung nicht fristgerecht vornimmt oder zu einem Termin nicht erscheint. Das Verfahren wird ohne die versäumte Handlung wei tergeführt. Den Parteien werden die Rechtsnachteile förmlich angedroht, die ihnen entstehen, wenn sie die Mitwirkung verweigern (§ 37 in Verbindung mit § 28 lit . a GSVGer und Art. 147 der Zivilprozessordnung [ZPO] beziehungsweise mit § 23 Abs. 2 GSVGer ).</w:t>
      </w:r>
    </w:p>
    <w:p>
      <w:r>
        <w:rPr>
          <w:b/>
        </w:rPr>
        <w:t>E. 1.3</w:t>
      </w:r>
    </w:p>
    <w:p>
      <w:r>
        <w:t>Vorliegend ist zu prüfen, ob der Beklagte d en Klägerinnen für das Jahr 2017 erhaltene Vergütungen wegen unwirtschaftlicher Behandlungsweise zurückbe zahlen muss und gegebenenfalls wie hoch der entsprechende Betrag ist. Auf den Antrag, der Beklagte sei definitiv von der Tätigkeit zulasten der obligatorischen Krankenpflegeversicherung (OKP) auszuschliessen (Urk. 1 S. 3) ist hingegen nicht einzutreten, da mit heutigem Urteil im Verfahren SR. 2018.00010 bereits ein Aus schluss angeordnet wurde.</w:t>
      </w:r>
    </w:p>
    <w:p>
      <w:r>
        <w:rPr>
          <w:b/>
        </w:rPr>
        <w:t>E. 1.4</w:t>
      </w:r>
    </w:p>
    <w:p>
      <w:r>
        <w:t>Die Verfahren SR.2016.0003, SR.2018.00010 sind sodann nicht mit dem vorlie genden Verfahren zu vereinigen, da die Klägerinnen in den drei Verfahren nicht identisch sind. 2.</w:t>
      </w:r>
    </w:p>
    <w:p>
      <w:r>
        <w:rPr>
          <w:b/>
        </w:rPr>
        <w:t>E. 2</w:t>
      </w:r>
    </w:p>
    <w:p>
      <w:r>
        <w:t>Rechtsanwalt Felix Weber wies sich mit Einga be vom 25. Februar 2020 (Urk. 7 ) sowie der beigelegten Vollmacht vom 23. August 2019 als Rechtsv ertreter der santésuisse aus (Urk. 9; vgl. auch Urk. 6 ) und ersuchte um Durchführung einer Sühnverhandlung , auch betreffend die Ver fahren SR.2016.00003 und SR.2018.0001 0.</w:t>
      </w:r>
    </w:p>
    <w:p>
      <w:r>
        <w:rPr>
          <w:b/>
        </w:rPr>
        <w:t>E. 2.1</w:t>
      </w:r>
    </w:p>
    <w:p>
      <w:r>
        <w:t>Die zu Lasten der obligatorischen Krankenpflegeversicherung abgerechneten Leistungen müssen wirksam, zweckmässig und wirtschaftlich sein (Art. 32 Abs. 1 KVG). Die Leistungserbringer haben sich in ihren Leistungen auf das Mass zu beschränken, das im Interesse der Versicherten liegt und für den Behandlungs 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 lich eine Methode zur Kontrolle der Wirtschaftlichkeit fest (Art. 56 Abs. 6 KVG).</w:t>
      </w:r>
    </w:p>
    <w:p>
      <w:r>
        <w:rPr>
          <w:b/>
        </w:rPr>
        <w:t>E. 2.2</w:t>
      </w:r>
    </w:p>
    <w:p>
      <w:r>
        <w:t>Gemäss Art. 59 Abs. 1 KVG werden gegen Leistungserbringer, welche gegen die im Gesetz vorgesehenen Wirtschaftlichkeits- und Qualitätsanforderungen (Art. 56 und 58 KVG) oder gegen vertragliche Abmachungen verstossen, Sanktionen er griffen, unter anderem umfassen diese die gänzliche oder teilweise Rückerstat tung der Honorare, welche für nicht angemessene Leistungen bezogen wurden ( lit . b). Über Sanktionen entscheidet das Schiedsgericht nach Art. 89 KVG auf Antrag eines Versicherers oder eines Verbandes der Versicherer (Art. 59 Abs. 2 KVG). Obschon die Rückerstattung der Honorare (Art. 59 Abs. 1 lit . b KVG) neu unter dem Begriff «Sanktionen» (Art. 59 Abs. 1 Satz 1 KVG) steht, bleibt die zu Art. 56 Abs. 2 KVG ergangene Rechtsprechung anwendbar, wonach kein Ver schulden des Leistungserbringers vorausgesetzt wird (BGE 141 V 25 E. 8.4).</w:t>
      </w:r>
    </w:p>
    <w:p>
      <w:r>
        <w:rPr>
          <w:b/>
        </w:rPr>
        <w:t>E. 2.3</w:t>
      </w:r>
    </w:p>
    <w:p>
      <w:r>
        <w:t>Die Daten, welche der Kontrolle der Wirtschaftlichkeit ambulant tätiger Leis tungserbringer zugrundeliegen , wurden am 17. Juli 2018 aufbereitet (Urk. 2/7), und die Klage an das hiesige Gericht wurde am 5. Juli 2019 zur Post gegeben (Urk. 1). Damit ist eine Verwirkung der Rückforderung rechtsprechungsgemäss noch nicht eingetreten.</w:t>
      </w:r>
    </w:p>
    <w:p>
      <w:r>
        <w:t>3.</w:t>
      </w:r>
    </w:p>
    <w:p>
      <w:r>
        <w:rPr>
          <w:b/>
        </w:rPr>
        <w:t>E. 3</w:t>
      </w:r>
    </w:p>
    <w:p>
      <w:r>
        <w:t>Am 4. März 2020 wurden die Parteien auf den 7. Mai 2020 für eine Sühnver handlung</w:t>
      </w:r>
    </w:p>
    <w:p>
      <w:r>
        <w:t>betreffend die drei gegen den Beklagten geführten Verfahren SR.2016.00003, SR.2018.00010 und SR.2019.00012 vorgeladen (Urk. 10 ). Der Beklagte blieb der Sühnverhandlung unentschuldigt fern (Protokoll S. 2 ), worauf hin den Klägerinnen mit Verfügung vom 7. Mai 2020 Frist zur Ergänzung der Klage sowie zur Einreichung allfälliger weiterer Beweismittel angesetzt wurde (Urk. 11 ). Mit Eingabe vom 1. Juli 2020 hielten die Klägerinnen an ihren Rechts begehren in der Klage vom 5. Juli 2019 fest und verzichteten auf eine weitere Ergänzung der Klage (Urk. 15 ). Der Beklagte liess die ihm in der Folge mit Ver fügung vom 2. Juli 2020 (Urk. 16 ) angesetzte Frist zur E rstattung einer Klageant wort ung enutzt verstreichen.</w:t>
      </w:r>
    </w:p>
    <w:p>
      <w:r>
        <w:rPr>
          <w:b/>
        </w:rPr>
        <w:t>E. 3.1</w:t>
      </w:r>
    </w:p>
    <w:p>
      <w:r>
        <w:t>Die Klägerinnen stellten den Hauptantrag, der Beklagte sei für das Statistikjahr 2017 gemäss Regressions-Index zur Rückzahlung von Fr. 49’702.-- zu verpflich ten (Urk. 1 S. 3).</w:t>
      </w:r>
    </w:p>
    <w:p>
      <w:r>
        <w:rPr>
          <w:b/>
        </w:rPr>
        <w:t>E. 3.2.1</w:t>
      </w:r>
    </w:p>
    <w:p>
      <w:r>
        <w:t>Gemäss Art. 56 Abs. 6 KVG legen Leistungserbringer und Versicherer vertraglich eine Methode zur Kontrolle der Wirtschaftlichkeit fest.</w:t>
      </w:r>
    </w:p>
    <w:p>
      <w:r>
        <w:rPr>
          <w:b/>
        </w:rPr>
        <w:t>E. 3.2.2</w:t>
      </w:r>
    </w:p>
    <w:p>
      <w:r>
        <w:t>Die Vereinigung der Schweizer Ärztinnen und Ärzte (FMH) auf der einen Seite,</w:t>
      </w:r>
    </w:p>
    <w:p>
      <w:r>
        <w:t>santésuisse (Die Schweizer Krankenversicherer) und curafutura (Die innovativen Krankenversicherer) auf der anderen Seite haben sich in einem am 27. Dezember 2013/16. Januar 2014, gestützt auf Art. 56 Abs. 6 KVG, geschlossenen Vertrag auf die Varianzanalyse (ANOVA) als statistische Methode zur Kontrolle der Wirt schaftlichkeit verständigt. Dies wurde vom Bundesgericht als zulässig erachtet. Art. 56 Abs. 6 KVG enthalte keine Spezifizierung oder exemplarische Aufzählung von Kriterien, die bei der Durchführung der Kontrolle zu berüc ksichtigen seien . Die Kriterien seien partnerschaftlich zu erarbeiten und festzulegen; dies liege allein in der Kompetenz der Leistungserbringer und der Versicherer (BGE 144 V 79 E. 5.3.1 mit Verweis auf BBl 2011 2524 und 2529 ff.). Die Vertragsparteien vereinbarten damals sodann, dass das Varianzanalysen mo dell künftig von Leistungserbringern und Versicherern gemeinsam weiterent wickelt und unter anderem durch Morbiditätsvariablen ergänzt werden solle (vgl. BGE 144 V 79 E. 5.1). Diese Weiterentwicklung wurde durch die Vereinbarung und die Implementierung der Regressions - Methode (oder Screening-Methode) verwirklicht (vgl. den Vertrag betreffend die Screening-Methode im Rahmen der Kontrolle der Wirtschaftlichkeit gemäs s Art. 56 Abs. 6 KVG vom 10. Ju li 2018 beziehungsweise 15./23. August 2018 [Version vom 20. März 2018; Urk. 2/9]</w:t>
      </w:r>
    </w:p>
    <w:p>
      <w:r>
        <w:t>sowie die Urteile 9C_558/2018 und 9C_559/2018 des Bundesgerichts vom 12. April 2019 E. 7.1 mit Hinweis ).</w:t>
      </w:r>
    </w:p>
    <w:p>
      <w:r>
        <w:rPr>
          <w:b/>
        </w:rPr>
        <w:t>E. 3.2.3</w:t>
      </w:r>
    </w:p>
    <w:p>
      <w:r>
        <w:t>Die Rechnungssteller-Statistik (RSS) bildet die Datenbasis sowohl für die Methode des Durchschnittskostenvergleichs (DKV) als auch des Varianzanalysenmodells (ANOVA-Methode) zur Bemessung der Wirtschaftlichkeit der Leistungen von praktizierenden Ärztinnen und Ärzten im Hinblick auf die Rückerstattung der Honorare wegen nicht wirtschaftlicher ambulanter Tätigkeit. Vergleichsgruppe bilden die Ärzte und Ärztinnen einer Facharztgruppe (gemäss Einteilung der FMH) in der Schweiz. Im Unterschied zum Durchschnittskostenvergleich werden bei der ANOVA-Methode die Kosten der einzelnen Leistungserbringer in Bezug auf die statistisch signifikanten, d.h. nicht zufälligen Merkmale «Alter und Ge schlecht» der Patienten sowie «Kanton», in dem die ambulante ärztliche Tätigkeit ausgeübt wird, standardisiert. Damit werden die Kosten so ausgewiesen, als hätte der betreffende Arzt die gleiche Alters- und Geschlechterverteilung wie die Ver gleichsgruppe als Ganzes und wie wenn alle Leistungserbringer im selben Kanton tätig wären. Die ANOVA-Methode ergibt Indizes betreffend die direkten Kosten (ohne Medikamente), die Medikamentenkosten (direkt und veranlasst) sowie die totalen Kosten (jeweils pro Erkrankten; vgl. die Urteile 9C_558/2018 und 9C_559/2018 des Bundesgerichts vom 12. April 2019 E. 7.1 mit Hinweis).</w:t>
      </w:r>
    </w:p>
    <w:p>
      <w:r>
        <w:rPr>
          <w:b/>
        </w:rPr>
        <w:t>E. 3.2.4</w:t>
      </w:r>
    </w:p>
    <w:p>
      <w:r>
        <w:t>Die neue statistische Regressionsanalyse (oder Screening-Methode), welche</w:t>
      </w:r>
    </w:p>
    <w:p>
      <w:r>
        <w:t>ab dem Statistikjah r 2017 zur Anwendung kommt (vgl. den Vertrag betreffend die Screening-Methode im Rahmen der Kontrolle der Wirtschaftlichkeit gemäs s Art. 56 Abs. 6 KVG vom 10. Ju li 2018 beziehungsweise 15./23. August 2018 [Version vom 20. März 2018; Urk. 2/9] sowie den Artikel «Neue Screening-Methode im Rahmen der Wirtschaftlichkeitskontrolle» in der Schweizerischen Ärztezeitung, 2018; 99[41], S. 1390-1391 [Urk. 2/10]), soll Leistungserbringer mit statistisch auffällig hohen Kosten noch spezifischer identifizieren, denn die Scree ning-Methode berücksichtigt im Vergleich zur bisherigen ANOVA-Methode zusätzliche Morbiditätsvariablen. Bei diesen handelt es sich insbesondere um Wahlfranchise, Aufenthalt in einem Spital oder Pflegeheim im Vorjahr und pharmazeutische Kos tengruppen. Mit diesen Variablen wird versucht, den durch Praxisbesonderheiten</w:t>
      </w:r>
    </w:p>
    <w:p>
      <w:r>
        <w:t>erklärbaren</w:t>
      </w:r>
    </w:p>
    <w:p>
      <w:r>
        <w:t>Anteil der Kosten zu berücksichtigen. Es ist die Aufgabe der nachge lagerten Prüfung, zwischen berechtigten Kosten ( z.B. medizinisch indizierte The rapiewahl) und unwirtschaftlichem Verhalten zu unterscheiden. Schliesslich wird im Modell der Regressionsanalyse ein Unsicherheitsindikator berechnet. Dieser bildet die Streuung in den Kostendaten ab un d kann folgendermassen interpre tiert werden: Weicht ein Arzt bei all seinen Patientengruppen in ähnlichem Umfang von den durch das Modell vorhergesag ten Kosten ab, ist der Unsicherheits faktor gering. Weichen hingegen beispiels weise die Kosten einiger Patientengruppen sehr stark positiv ab, andere jedoch kaum oder stark negativ, ist der Unsicherheits faktor gross. Der Unsicher heitsindikator berücksichtigt also den Umstand, dass die Kosten eines Arztes zwi schen den Patientengruppen deut lich streuen können. Dies ist zum Beispiel dann der Fall, wenn einzelne Patienten im Kollektiv sehr hohe Kosten verursachen. In kleinen Arztpraxen mit einer geringen Anzahl Patienten können solche F älle die Durchschnittskosten be ein flussen. Der Unsicherheitsindikator liefert im Rahmen der Analyse wertvolle Hin weise, wie robust die Ergebnisse sind.</w:t>
      </w:r>
    </w:p>
    <w:p>
      <w:r>
        <w:rPr>
          <w:b/>
        </w:rPr>
        <w:t>E. 3.2.5</w:t>
      </w:r>
    </w:p>
    <w:p>
      <w:r>
        <w:t>Gemäss Schilderungen der santésuisse in der Klage vom 5. Juli 2019 erfolgt das zweistufige Verfahren der Regressionsanalyse zusammengefasst wie folgt: Die erste Stufe der Regressionsanalyse habe zum Ziel, den nicht durch die Morbidi tätskriterien erklärbaren Teil der totalen Kosten pro Erkrankten im Vergleich zu den Durchschnittskosten eines Arztes aus derselben Facharztgruppe in der Schweiz zu quantifizieren. Auf einer zweiten Stufe werde das Residuum nicht erklärbarer Arztkosten pro Erkrankten um zwei weitere Kriterien korrigiert. Dies seien einerseits der Praxisstandort-Kanton, welcher bereits unter der ANOVA-Methode berücksichtigt worden sei, und andererseits fachspezifische Kriterien der Ärztefachgruppe. Mit letzteren werde gemäss der Regressions-Methode der Tat sache Rechnung getragen, dass bestimmte Facharztgruppen komplexere und somit typischerweise teurere Leistungen erbrächten als andere. Es handle sich um Faktoren, die pro Arzt konstant seien und damit innerhalb des Patientenkollektivs nicht variierten. Nach erfolgter Korrektur verbleibe der potentiell unwirtschaft liche Teil der Kosten pro Erkrankten des Arztes. Im Zusammenhang mit diesem zweistufigen Verfahren werde der sogenannte Regressionsindex berechnet. Dieser zeige an, um wie viele Prozentpunkte die Kosten pro Erkranken eines Arztes über oder unter den Durchschnittskosten der Vergleichsgruppe lägen. Ärzte, die den mittleren Indexwert von 100 Punkten deutlich überschritten, gälten als statistisch auffällig. Für sämtliche Kostenarten (totale Kosten, direkte Arztkosten, direkte sowie veranlasste Medikamenten-, Labor- und MiGeL -Kosten sowie veranlasste Physiotherapiekosten) erfolge eine eigene Regressionsanalyse mit separat ausge wiesenen Indizes. Für die Beurteilung der ( Un -)Wirtschaftlichkeit massgebend sei der Index totale Kosten. Vor dem Hintergrund der optimierten Spezifität der Methode rechtfertige es sich, die Obergrenze des Toleranzbereichs zu reduzieren und neu auf 120 Indexpunkte festzulegen. Die neue Methode würde es sogar erlauben, die Obergrenze unter 120 Indexpunkten anzusetzen (Urk. 1 S. 6 f. ).</w:t>
      </w:r>
    </w:p>
    <w:p>
      <w:r>
        <w:rPr>
          <w:b/>
        </w:rPr>
        <w:t>E. 3.2.6</w:t>
      </w:r>
    </w:p>
    <w:p>
      <w:r>
        <w:t>Die Anwendung der Screening-Methode ab dem Statistikjahr 2017 ist nicht zu beanstanden, haben sich die Vertragsparteien doch darauf verständigt (vgl. den von den Klägerinnen eingereichten Vertrag betreffend die Screening-Methode im Rahmen der Kontrolle der Wirtschaftlichkeit gemäss Art. 56 Abs. 6 KVG vom 10. Juli 2018 beziehungsweise 15./23. August 2018 [Version vom 20. März 2018; Urk. 2 /9]). Nicht zu beanstanden ist auch, dass für die Rückforderung auf den Regressions-Index totale Kosten abgestellt wird , zumal nach wie vor lediglich die direkten Kosten als Basis für die Berechnung der Rückforderungssumme dienen. G erechtfertigt ist sodann , bei der Screening-Methode, welche im Vergleich zur ANOVA-Methode zusätzliche Variablen berücksichtigt, die Obergrenze des Tole ranzbereichs bei maximal 120 Indexpunkten festzusetzen.</w:t>
      </w:r>
    </w:p>
    <w:p>
      <w:r>
        <w:rPr>
          <w:b/>
        </w:rPr>
        <w:t>E. 3.3</w:t>
      </w:r>
    </w:p>
    <w:p>
      <w:r>
        <w:t>Der Beklagte, welcher über den Facharzttitel Allgemeine Innere Medizin sowie die Fähigkeits-/Fertigkeitsausweise Sachkunde für dosisintensives Röntgen und Praxislabor verfügt, praktizierte im Jahr 2017 im Kanton Zürich unter der Zahl stellennummer … .</w:t>
      </w:r>
    </w:p>
    <w:p>
      <w:r>
        <w:t>Gemäss Rechnungsste ller-Statistik und Regressionsbe richt-Statistik vom 17. Juli 2018 betrugen die totalen direkten Kost en (Bruttoleis tung) im Jahr 2017 Fr. 220’111 . -- (Urk. 2/5 S. 1 und Urk. 2/6 S. 2 ) , bei einem Regressions -Index totale direkte Kosten von 183 Punkten und einem Regressions-Index totale Kosten (direkt und veranlasst) von 155 Punkten (Urk. 2/6 S. 2) . Damit überschritt der Beklagte, welcher gemäss Darstellung der Klägerinnen bereits über Jahre hinweg gegen das Gebot der Wirtschaftlichkeit verstossen habe und mehr fach verwarnt worden sei (vgl. auch die Verfahren SR.2016.00003 und SR.2018.00010) , bei ein em Vergleichskollektiv von schweizweit 5’497 Ärztinnen und Ärzten derselben Facharztgruppe den Toleranzbereich von 120 Punkten (Urk. 1 S. 8 f. ) .</w:t>
      </w:r>
    </w:p>
    <w:p>
      <w:r>
        <w:t>Auch die bisherigen Indizes der Rechnungssteller-Statistik sowie der ANOVA-Methode weisen eine deutliche Kostenüberschreitung aus (RSS-Index direkte Kosten 216, RSS-Index totale Kosten 195; ANOVA-Index direkte Kosten ohne Medikamente 162, ANOVA-Index totale Kosten 155). Damit besteht grundsätzlich eine Rückerstattungspflicht des Beklagten.</w:t>
      </w:r>
    </w:p>
    <w:p>
      <w:r>
        <w:rPr>
          <w:b/>
        </w:rPr>
        <w:t>E. 3.4</w:t>
      </w:r>
    </w:p>
    <w:p>
      <w:r>
        <w:t>Der Beklagte liess sich im Verfahren vor dem Schiedsgericht nicht vernehmen. Damit verzichtete er darauf, darzulegen, inwieweit bei ihm oder beim Patienten gut besondere Umstände oder spezielle Verhältnisse vorlägen. Praxisbesonder heiten oder andere spezielle Verhältnisse, welche das Übersch reiten des Toleranz wertes von 12 0 Ind expunkten zu erklären vermöchten, sind denn auch nicht ersichtlich. Damit lässt sich die Überschreitung des Toleranzwertes nicht begrün den.</w:t>
      </w:r>
    </w:p>
    <w:p>
      <w:r>
        <w:rPr>
          <w:b/>
        </w:rPr>
        <w:t>E. 3.5</w:t>
      </w:r>
    </w:p>
    <w:p>
      <w:r>
        <w:t>In Anwendung der Regressions-Methode errechneten die Klägerinnen eine Rück forderungssumme von Fr. 49’702 .-- (Fr. 220’111 .-- [Totale direkte Kosten] / 155 [Regressions-Index ] x [155 {Regressions-Index} - 120 {Toleranzbereich}] ; vgl. Urk. 1 S. 8), welche in diesem Umfang ausgewiesen ist.</w:t>
      </w:r>
    </w:p>
    <w:p>
      <w:r>
        <w:rPr>
          <w:b/>
        </w:rPr>
        <w:t>E. 3.6</w:t>
      </w:r>
    </w:p>
    <w:p>
      <w:r>
        <w:t>Abschliessend ist festzuhalten, dass vorliegend keine Gründe ersichtlich sind, weshalb eine weniger einschneidende Sanktion als die gänzliche Rückerstattung der Honorare gemäss Art. 59 Abs. 1 lit . b KVG (insbesondere eine bloss teilweise Rückerstattung der Honorare gemäss Art. 59 Abs. 1 lit . b KVG) zu ergreifen wäre.</w:t>
      </w:r>
    </w:p>
    <w:p>
      <w:r>
        <w:rPr>
          <w:b/>
        </w:rPr>
        <w:t>E. 4</w:t>
      </w:r>
    </w:p>
    <w:p>
      <w:r>
        <w:t>Damit ist die Klage , soweit auf sie einzutreten ist (vgl. E. 1.3) , gutzuheissen und der Beklagte ist zu verpflichten, den Kläger innen für das Statistikjahr 2017 einen Be trag von Fr. 49’702 .-- zurückzu bezahlen.</w:t>
      </w:r>
    </w:p>
    <w:p>
      <w:r>
        <w:rPr>
          <w:b/>
        </w:rPr>
        <w:t>E. 5</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Schiedsgericht in Sozialversicherungsstreitigkeiten des Kantons Zürich Das leitende MitgliedDie Gerichtsschreiberin VogelMuraro</w:t>
      </w:r>
    </w:p>
    <w:p>
      <w:r>
        <w:rPr>
          <w:b/>
        </w:rPr>
        <w:t>E. 5.1</w:t>
      </w:r>
    </w:p>
    <w:p>
      <w:r>
        <w:t>Gemäss § 52 GSVGer richtet sich die Bemessung der Kosten- und Entschädi gungsfolgen nach den Bestimmungen der ZPO.</w:t>
      </w:r>
    </w:p>
    <w:p>
      <w:r>
        <w:rPr>
          <w:b/>
        </w:rPr>
        <w:t>E. 5.2</w:t>
      </w:r>
    </w:p>
    <w:p>
      <w:r>
        <w:t>Dementsprechend werden die Prozesskosten der unterliegenden Partei auferlegt (Art. 106 Abs. 1 ZPO). Der Beklagte unterliegt v ollständig. In Anw endung von Art. 96 ZPO sowie von § 4 Abs. 1 der Gebührenverordnung de s Obergerichts ( GebV OG) ist bei einem Streitwert von Fr. 49’702 . -- eine Grundgebühr von ge rundet Fr. 5’526.-- (Fr. 3’150.-- zuzüglich 8 % des Fr. 20'000 übersteigenden Streitwerts) festzusetzen . Unter Berücksichtigung des Umstands, dass die Sühn verhandlung , welche für drei Verfahren gleichzeitig (SR.2016.00003, SR.2018.00010 und SR.2019.00012) angesetzt wurde, zufolge Fernbleibens des Beklagten äusserst kurz ausfiel und sich der Zeitaufwand des Gerichts für die Begründung des Urteils mangels Eingaben des Beklagten in Grenzen hielt, recht fertigt es sich, die Grundgebühr gemäss § 4 Abs. 2 GebV OG (Zeitaufwand des Gerichts und Schwierigkeit des Falls) um einen Viertel auf rund</w:t>
      </w:r>
    </w:p>
    <w:p>
      <w:r>
        <w:t>Fr. 4 ' 0 00 .-- zu ermässigen und dem unterliegenden Beklagten aufzuerlegen.</w:t>
      </w:r>
    </w:p>
    <w:p>
      <w:r>
        <w:rPr>
          <w:b/>
        </w:rPr>
        <w:t>E. 5.3</w:t>
      </w:r>
    </w:p>
    <w:p>
      <w:r>
        <w:t>Gemäss</w:t>
      </w:r>
    </w:p>
    <w:p>
      <w:r>
        <w:t>Art. 95 Abs. 3 in Verbindung mit Art. 106 Abs. 1 ZPO hat das Gericht zu Lasten der unterliegenden Partei eine Parteientschädigung festzusetzen. Eine Par tei hat in der Regel nur Anspruch auf eine Prozessentschädigung, wenn sie berufsmässig ( anwaltlich ) vertreten ist. In begründeten Fällen wird eine angemes sene Umtriebsentschädigung zugesprochen, wenn eine Partei nicht berufsmässig vertreten ist ( Art. 95 Abs. 3 lit . b und c ZPO). Die Klägerinnen sind berufsmässig vertreten. In Anwendung von Art.</w:t>
      </w:r>
    </w:p>
    <w:p>
      <w:r>
        <w:t>96 ZPO sowie von § 4 Abs. 1 der Verordnung über die Anwaltsgebühren ( AnwGebV ) ist bei einem Streitwert von Fr. 49’702 . -- eine Grundgebühr von gerundet Fr. 6'973.- - (Fr. 6'100.-- zuzüglich 9 % des Fr. 40'000 übersteigenden Streitwerts) festzusetzen, welche gemäss § 4 Abs. 2 AnwGebV (Zeitaufwand und Schwie rig keit des Falls ) ebenfalls um etwa einen Viertel (vgl. E. 5.2) auf rund Fr. 5’ 000 .-- zu ermässigen ist. Der unterliegende Beklagte ist somit zu verpflichten, den Klägerinnen eine P rozess entschädigung von Fr. 5’ 000 .-- zu bezahlen. Das Schiedsgericht erkennt: 1.</w:t>
      </w:r>
    </w:p>
    <w:p>
      <w:r>
        <w:t>In Gutheissung der Rückerstattungsk lage wird der Beklagte verpflichtet, den Klägerinnen für das Statisti kjahr 2017 einen Betrag von insgesamt Fr. 49’702 .-- zurückzu bezahlen. 2 .</w:t>
      </w:r>
    </w:p>
    <w:p>
      <w:r>
        <w:t>Die Ger ichtskosten von Fr. 4’0 00 .-- werden dem Beklagten auferlegt.</w:t>
      </w:r>
    </w:p>
    <w:p>
      <w:r>
        <w:t>Rechnung und Einzahlungsschein werden dem Kostenpflichtigen nach Eintritt der Rechtskraft zuge stellt. 3 .</w:t>
      </w:r>
    </w:p>
    <w:p>
      <w:r>
        <w:t>Der Beklagte wird verpflichtet, den Klägerinnen ei ne Prozessentschädigung von Fr. 5’ 000 .-- (inkl. Barauslagen und MWSt ) zu bezahlen. 4 .</w:t>
      </w:r>
    </w:p>
    <w:p>
      <w:r>
        <w:t>Zustellung gegen Empfangsschein an: - Rechtsanwalt Felix Weber - X.___ - Bundesamt für Gesundheit - Gesundheitsdirektion des Kantons Zürich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