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SR.2017.00010 vom 1. Dezember 2020</w:t>
      </w:r>
    </w:p>
    <w:p>
      <w:r>
        <w:t>ZH Sozialversicherungsgericht, 2020-12-01, DE</w:t>
      </w:r>
    </w:p>
    <w:p>
      <w:r>
        <w:rPr>
          <w:b/>
        </w:rPr>
        <w:t xml:space="preserve">Quelle: </w:t>
      </w:r>
      <w:r>
        <w:t>https://mcp.opencaselaw.ch/entscheid/zh_sozialversicherungsgericht_SR.2017.00010</w:t>
      </w:r>
    </w:p>
    <w:p>
      <w:r>
        <w:t>FR: ZH_SOZIALVERSICHERUNGSGERICHT SR.2017.00010 du 1 décembre 2020</w:t>
      </w:r>
    </w:p>
    <w:p>
      <w:r>
        <w:t>IT: ZH_SOZIALVERSICHERUNGSGERICHT SR.2017.00010 del 1 dicembre 2020</w:t>
      </w:r>
    </w:p>
    <w:p>
      <w:pPr>
        <w:pStyle w:val="Heading2"/>
      </w:pPr>
      <w:r>
        <w:t>Erwägungen</w:t>
      </w:r>
    </w:p>
    <w:p>
      <w:r>
        <w:rPr>
          <w:b/>
        </w:rPr>
        <w:t>E. 1.1</w:t>
      </w:r>
    </w:p>
    <w:p>
      <w:r>
        <w:t>Mit Eingabe vom 11. September 2017 erhob Dr. med. Dr. med. dent . X.___ Klage gegen die IV-Stellen der Kantone Zürich, St. Gallen, Thurgau, Aargau, Zug, Luzern und Schwyz und beantragte , es seien die Leistungen des Klägers (Behandlungen gemäss beigelegter Liste) durch die Beklagten nach Ein zelleistungstarif (Zahnarzttarif SSO-MTK/MV/IV) zu entschädigen und zwar im Rechnungsbetrag, wie er der Rechnung zu entnehmen sei, welche den Beklagten eingereicht worden sei, zuzüglich 5 % Verzugszins ab Einreichung der vorliegen den Klage (Urk. 1).</w:t>
      </w:r>
    </w:p>
    <w:p>
      <w:r>
        <w:rPr>
          <w:b/>
        </w:rPr>
        <w:t>E. 1.2</w:t>
      </w:r>
    </w:p>
    <w:p>
      <w:r>
        <w:t>Mit Eingabe vom 21. Dezember 2017 (Urk. 12) übermittelte der Kläger diverse Kostengutsprachen (Urk. 13/1-36) sowie eine Übersicht der der Klage zugrunde liegenden Rechnungen (Urk. 14).</w:t>
      </w:r>
    </w:p>
    <w:p>
      <w:r>
        <w:rPr>
          <w:b/>
        </w:rPr>
        <w:t>E. 1.2.1</w:t>
      </w:r>
    </w:p>
    <w:p>
      <w:r>
        <w:t>Von den Prozessvoraussetzungen zu unterscheiden ist die materiellrechtliche Frage der Sachlegitimation der Parteien , welche von der Beklagten bestritten wird (vgl. Urk. 26) . Liegt ein zwischen Leistungserbringern und Versicherungsträgern aus einem die Zuständigkeit des Schiedsgerichts begründenden Sozialversiche rungsgesetz abgeleiteter Anspruch im Streit, hat das Schiedsgericht auf die Klage einzutreten und sie gegebenenfalls abzuweisen, wenn sich die behauptete sozial versicherungsrechtliche Anspruchsgrundlage als nicht existent erweist (Ernst, a.a.O., N 14 zu § 35 GSVGer ).</w:t>
      </w:r>
    </w:p>
    <w:p>
      <w:r>
        <w:rPr>
          <w:b/>
        </w:rPr>
        <w:t>E. 1.2.2</w:t>
      </w:r>
    </w:p>
    <w:p>
      <w:r>
        <w:t>Soweit die Beklagte geltend macht, zwischen ihr und dem Kläger sei kein Ver tragsverhältnis zustandegekommen , weshalb mangels Aktivlegitimation nicht auf die Klage einzutreten sei (Urk. 26 S. 2), ist darauf hinzuweisen, dass über doppel relevante Tatsachen im Rahmen des Sachentscheids zu befinden ist (Urteil des ehemaligen Eidgenössischen Versicherungsgerichts K 5/03 vom 15. April 2004 E. 2.2).</w:t>
      </w:r>
    </w:p>
    <w:p>
      <w:r>
        <w:rPr>
          <w:b/>
        </w:rPr>
        <w:t>E. 1.2.3</w:t>
      </w:r>
    </w:p>
    <w:p>
      <w:r>
        <w:t>Die Beklagte brachte sodann vor, auch mangels ihrer (Passiv-)Legitimation sei nicht auf die Klage einzutreten (Urk. 26). Wie bereits erwähnt, verlangt e der Klä ger von ihr in konkreten Fällen eine Entschädigung für von ihm erbrachte (Sach-)Leistungen, womit eine Streitigkeit über eine Tarifvertragsanwendung vorliegt. Weshalb der Kläger unter diesen Umständen das BSV oder eine andere Partei hätte einklagen sollen, lässt sich nicht nachvollziehen. Selbst das BSV ging in seiner Stellungnahme vom 21. Dezember 2018 davon aus, dass die Beklagte pas sivlegitimiert ist (Urk. 27/1).</w:t>
      </w:r>
    </w:p>
    <w:p>
      <w:r>
        <w:rPr>
          <w:b/>
        </w:rPr>
        <w:t>E. 1.3</w:t>
      </w:r>
    </w:p>
    <w:p>
      <w:r>
        <w:t>.4</w:t>
      </w:r>
    </w:p>
    <w:p>
      <w:r>
        <w:t>Mangels eines Anspruchs auf Beiladung und mangels einer Bindungswirkung des Urteils für das BSV – selbst bei Beiladung – ist auf eine solche zu verzichten. Ungehört bleibt das BSV aber dennoch nicht, denn die Beklagte hat dem Schieds gericht eine zu ihren Händen angefertigte Stellungnahme des BSV vom 21. De zember 2018 (Urk. 27/1) sowie ein E-Mail-Schreiben des BSV an den Vertreter des Klägers vom 19. Dezember 2018 (Urk. 27/9) zukommen lassen. Aus diesen geht die rechtliche Einschätzung des BSV zum vorliegenden Streitfall in genü gender Weise hervor. Das BSV ist im Übrigen gestützt auf Art. 89 ter</w:t>
      </w:r>
    </w:p>
    <w:p>
      <w:r>
        <w:t>Abs.</w:t>
      </w:r>
    </w:p>
    <w:p>
      <w:r>
        <w:rPr>
          <w:b/>
        </w:rPr>
        <w:t>E. 1.3.1</w:t>
      </w:r>
    </w:p>
    <w:p>
      <w:r>
        <w:t>Die Beklagte beantragte, das BSV sei zum Verfahren beizuladen und verwies auf ein Schreiben desselben an sie vom 6. Dezember 2018 ( Urk. 27/1). Darin wandte das BSV ein, dass die vorliegende Streitigkeit nicht beurteilt werden könne, ohne dass ein Präjudiz bezüglich der Grundsatzfrage der Anwendbarkeit von SwissDRG -Fallpauschalen bei stationären zahnärztlichen Leistungen geschaffen würde. Somit sei erhellt, dass die Invalidenversicherung durch den Entscheid in ihren rechtlichen Interessen berührt sei , weshalb das BSV als deren Vertreter zum Prozess beizuladen sei (S. 1-2) .</w:t>
      </w:r>
    </w:p>
    <w:p>
      <w:r>
        <w:rPr>
          <w:b/>
        </w:rPr>
        <w:t>E. 1.4</w:t>
      </w:r>
    </w:p>
    <w:p>
      <w:r>
        <w:t>Anlässlich der am 21. November 2018 durchgeführten Sühnverhandlung schlos sen die Parteien keinen Vergleich (Protokoll S. 3), woraufhin das Verfahren fort gesetzt wurde (Verfügung vom 17. Dezember 2018, Urk. 21).</w:t>
      </w:r>
    </w:p>
    <w:p>
      <w:r>
        <w:rPr>
          <w:b/>
        </w:rPr>
        <w:t>E. 1.5</w:t>
      </w:r>
    </w:p>
    <w:p>
      <w:r>
        <w:t>Mit Eingabe vom 24. Januar 2019 legte der Kläger seine ergänzende Klagebe gründung sowie weitere Beweismittel auf (Urk. 23 und Urk. 24/1-3). Die Beklagte erstattete die Klageantwort am 1. März 2019 und beantragte, es sei auf die Klage mangels Legitimation der IV-Stelle sowie des Klägers nicht einzutreten. Eventuell sei das Bundesamt für Sozialversicherungen (BSV) als Partei beizuladen (Urk. 26 und Urk. 27/1-9).</w:t>
      </w:r>
    </w:p>
    <w:p>
      <w:r>
        <w:rPr>
          <w:b/>
        </w:rPr>
        <w:t>E. 1.6</w:t>
      </w:r>
    </w:p>
    <w:p>
      <w:r>
        <w:t>Replicando beantragte der Kläger am 11. April 2019 die Gutheissung der Klage (Urk. 31). Die Beklagte verzichtete mit Eingabe vom 22. Mai 2019 auf die Erstat tung einer Duplik</w:t>
      </w:r>
    </w:p>
    <w:p>
      <w:r>
        <w:t>und hielt an ihren Anträgen fest (Urk. 33).</w:t>
      </w:r>
    </w:p>
    <w:p>
      <w:r>
        <w:rPr>
          <w:b/>
        </w:rPr>
        <w:t>E. 2</w:t>
      </w:r>
    </w:p>
    <w:p>
      <w:r>
        <w:t>.3</w:t>
      </w:r>
    </w:p>
    <w:p>
      <w:r>
        <w:t>Gestützt auf Art. 13 IVG erliess der Bundesrat die Verordnung über Geburtsge brechen ( GgV ; vgl. auch Art. 3 IVV, welcher besagt, dass die Liste der Geburts gebrechen im Sinne von Art. 13 IVG Gegenstand einer besonderen Verordnung bildet). Gemäss Anhang II.</w:t>
      </w:r>
    </w:p>
    <w:p>
      <w:r>
        <w:t>A .</w:t>
      </w:r>
    </w:p>
    <w:p>
      <w:r>
        <w:t>GgV gelten Systemerkrankungen des Skeletts, unter anderem angeborene Hemihypertrophien und andere Körperasymmetrien, sofern eine Operation notwendig ist, als Geburtsgebrechen (Ziff. 125). Im Anhang Ziff. IV .</w:t>
      </w:r>
    </w:p>
    <w:p>
      <w:r>
        <w:t>GgV sind sodann die Geburtsgebrechen im Bereich des Gesichts (Ziff. 201-218) aufgelistet. Soweit zahnärztliche Behandlungen von Geburtsge brechen durchzuführen sind, gelten diese als medizinische Massnahmen im Sinne von Art. 14 Abs. 1 lit . a IVG (vgl. ausserdem die Gleichstellung der Zahnärztin nen und Zahnärzte mit den Ärztinnen und Ärzten im Bereich des KVG, wenn zahnärztliche Behandlungen im Rahmen der obligatorischen Krankenversiche rung durchzuführen sind [Art. 36 Abs. 3 in Verbindung mit Art. 31 KVG]).</w:t>
      </w:r>
    </w:p>
    <w:p>
      <w:r>
        <w:rPr>
          <w:b/>
        </w:rPr>
        <w:t>E. 2.0</w:t>
      </w:r>
    </w:p>
    <w:p>
      <w:r>
        <w:t>Abrechnungsversion 2013/2013 und SwissDRG</w:t>
      </w:r>
    </w:p>
    <w:p>
      <w:r>
        <w:rPr>
          <w:b/>
        </w:rPr>
        <w:t>E. 2.1</w:t>
      </w:r>
    </w:p>
    <w:p>
      <w:r>
        <w:t>Mit Verfügung vom 1 5. Januar 2020 ( Urk. 35) wurde den Par teien Gelegenheit eingeräumt, aus den sie betreffenden Untergruppen «zahnärztliche Leistungen» beziehungsweise «Invalidenversicherung» der Liste der vom Kantonsrat gewähl ten Mitglieder des Schiedsgerichts je eine Schiedsrichterin oder einen Schieds richter vorzuschlagen.</w:t>
      </w:r>
    </w:p>
    <w:p>
      <w:r>
        <w:rPr>
          <w:b/>
        </w:rPr>
        <w:t>E. 2.2</w:t>
      </w:r>
    </w:p>
    <w:p>
      <w:r>
        <w:t>Der Kläger schlug mit Eingabe vom 6. Februar 2020 Dr. med. dent . Flavio Cassani als Schiedsrichter aus der ihn betreffenden Untergruppe «zahnärztliche Leistun gen» vor (Urk. 37). Die Beklagte schlug mit Eingabe von demselben Datum PD Dr. iur . Urs Müller als Schiedsrichter aus der sie betreffenden Untergruppe «Inva li denversicherung» vor (Urk. 38).</w:t>
      </w:r>
    </w:p>
    <w:p>
      <w:r>
        <w:rPr>
          <w:b/>
        </w:rPr>
        <w:t>E. 2.3</w:t>
      </w:r>
    </w:p>
    <w:p>
      <w:r>
        <w:t>Mit Verfügung vom 12. Februar 2020 (Urk. 39) nahm das Schiedsgericht Dr. med. dent . Flavio Cassani aus der Untergruppe «zahnärztliche Leistungen» und PD Dr. iur . Urs Müller aus der Untergruppe «Invalidenversicherung» als Schiedsrich ter für den vor liegenden Prozess in Aussicht und setzte den Parteien eine Frist von 2 0 Tagen an, um gegen die in Aussicht genommenen Schiedsrichter Ein wände zu erheben.</w:t>
      </w:r>
    </w:p>
    <w:p>
      <w:r>
        <w:rPr>
          <w:b/>
        </w:rPr>
        <w:t>E. 2.3.1</w:t>
      </w:r>
    </w:p>
    <w:p>
      <w:r>
        <w:t>des Weiterbildungs programms des SIWF Schweizerischen Instituts für ärztliche Wei ter- und Fortbil dung FMH vom 1. Juli 2001 betreffend den Facharzttitel für Mund-, Kiefer- und Gesichtschirurgie wird der Besitz des eidgenössischen Arzt- und Zahnarztdiploms beziehungsweise werden entsprechende ausländische ane r kannte Diplome vorausgesetzt).</w:t>
      </w:r>
    </w:p>
    <w:p>
      <w:r>
        <w:rPr>
          <w:b/>
        </w:rPr>
        <w:t>E. 2.4</w:t>
      </w:r>
    </w:p>
    <w:p>
      <w:r>
        <w:t>Die Parteien liessen die angesetzte Frist unbenutzt verstreichen. Mit Verfügung vom 8. Mai 2020 ( Urk. 41) ernannte das Schiedsgericht Dr. med. dent . Flavio Cassani aus der Untergruppe «zahnärztliche Leistungen» und PD Dr. iur . Urs Mül ler aus der Untergruppe «Invalidenversicherung» als Schiedsrichter für den vor liegenden Prozess. Das Schiedsgericht zieht in Erwägung: 1 . 1 .1 1 .1.1</w:t>
      </w:r>
    </w:p>
    <w:p>
      <w:r>
        <w:t>Gemäss Art. 27 bis</w:t>
      </w:r>
    </w:p>
    <w:p>
      <w:r>
        <w:t>des Bundesgesetz es über die Invalidenversicherung (IVG) ent scheiden die von den Kantonen bezeichneten Schiedsgerichte über Streitigkeiten zwischen der Versicherung und Leistungserbringern (Abs. 1). Zuständig ist das Schiedsgericht am Ort der ständigen Einrichtung oder der Berufsausübung des Leistungserbringers (Abs. 2). In Bezug auf das Verfahren bestimmt Art. 27 bis IVG, dass der schiedsgerichtlichen Behandlung eines Streitfalles ein Vermittlungsver fahren vorauszugehen hat, sofern der Streitfall nicht schon einer vertraglich ein gesetzten Vermittlungsinstanz unterbreitet worden ist (Abs. 5), und dass die Kan tone das übrige Verfahren regeln (Abs. 7). Gemäss § 35 des Gesetzes über das Sozialversi cherungsgericht ( GSVGer ) beurteilt das hiesige Schiedsgericht als ein zige kan tonale Instanz unter anderem Streitigkeiten nach Art. 26 Abs. 4 und Art. 27 bis IVG. Das Schiedsgericht ist dem Sozialversicherungsgericht angeglie dert und untersteht seiner admi nistrativen Aufsicht (§ 36 Abs. 1 GSVGer ).</w:t>
      </w:r>
    </w:p>
    <w:p>
      <w:r>
        <w:t>Gesetz und Verordnung umschreiben nicht näher, was unter Streitigkeiten zwi schen der Versicherung und Leistungserbringern (Art. 27 bis Abs. 1 IVG) zu ver stehen ist. In Analogie zu der zu Art. 89 Abs. 1 des Bundesgesetz es über die Kran kenversicherung (KVG)</w:t>
      </w:r>
    </w:p>
    <w:p>
      <w:r>
        <w:t>beziehungsweise Art. 57 Abs. 1 des Bundesgesetzes über die Unfallversicherung (UVG) ergangenen Rechtsprechung ist von einer weiten Begriffsumschreibung auszugehen, indem die sachliche Zuständigkeit für alle Streitigkeiten zwischen der Invalidenversicherung und Leistungserbringern zu bejahen ist, wenn und soweit sie Rechtsbeziehungen zum Gegenstand haben, die sich aus dem IVG ergeben oder auf Grund des IVG eingegangen worden sind. Denn die Bestimmungen sind weitgehend identisch. Der Streitgegenstand hat die besondere Stellung der Versicherer oder Leistungserbringer im Rahmen des IVG zu betreffen. Des Weiteren muss es sich um eine Streitigkeit zwischen dem Ver sicherungsträger und Leistungserbringern handeln, was sich danach bestimmt, welche Parteien einander in Wirklichkeit gegenüberstehen (BGE 145 V 57 E. 2.2.1 mit weiteren Hinweisen; vgl. auch Meyer/ Reichmuth , Bundesgesetz über die In validenversicherung, 3. Aufl. 2014, Rz . 1 zu Art. 27 bis IVG). 1 .1.2</w:t>
      </w:r>
    </w:p>
    <w:p>
      <w:r>
        <w:t>Die sachliche und örtliche Zuständigkeit sind als Prozessvoraussetzungen von Amtes wegen zu prüfen. Die örtliche Zuständigkeit (Art. 27 bis Abs. 2 IVG) des Schiedsgerichts ist gegeben, da der Kläger die streitgegenständlichen Behandlun gen in der Y.___ in Zürich durchgeführt hat. Auch sachlich ist das Schiedsgericht zuständig, zumal sich der Kläger als Leistungserbringer und die Beklagte als Versicherungsträgerin als Parteien gegenüberstehen und es um Fragen der Tarifvertragsanwendung – und nicht um Fragen der Tarifvertragsge staltung – geht (BGE 123 V 280 E. 6 sowie Ernst, in: Gesetz über das Sozialver sicherungsgericht des Kantons Zürich, 2. Aufl. 2009, N 10 zu § 35 GSVGer [vgl. auch N 2 zu § 35 GSVGer ]; vgl. sodann das Urteil des Bundesgerichts 8C_62/2015 vom 26. August 2015 E. 5.2, gemäss welchem die Prüfung einer Änderung der Tarifstruktur nicht in die Zuständigkeit der kantonalen Schiedsgerichte fällt). In concreto ist festzuhalten, dass bei einer tieferen als in Rechnung gestellten Ent schädigung der erbrachten (Sach-)Leistungen durch die Invalidenversicherung die im konkreten Fall angewendeten Tarifpositionen durch das zuständige kan tonale Schiedsgericht auf ihre Rechtmässigkeit hin überprüft werden dürfen (Ur teil des Bundesgerichts 9C_657/2016 vom 13. Februar 2017 E. 6). Dies hat auch zu gelten, wenn die Invalidenversicherung statt der geltend gemachten Tarifpo sitionen gänzlich andere zur Anwendung bringt.</w:t>
      </w:r>
    </w:p>
    <w:p>
      <w:r>
        <w:t>Auf die Klage ist damit einzutreten.</w:t>
      </w:r>
    </w:p>
    <w:p>
      <w:r>
        <w:rPr>
          <w:b/>
        </w:rPr>
        <w:t>E. 3.0</w:t>
      </w:r>
    </w:p>
    <w:p>
      <w:r>
        <w:t>Ab rechnungsversion 2014/2014). Weshalb unter dieser Abrechnungsnummer keine zahnärztlichen Leistungen abgegolten werden könnten, erschliesst sich nicht. Selbst die SSO war der Ansicht, dass unter den Fallpauschalen auch zahnärztliche Leistungen abgegolten würden: Im SSO Internum N° 1/2012 hielt der Vorstand unter dem Titel «Fallpauschalen/DRG – auch Zahnärzte betroffen!» fest: «Ab 1. Januar 2012 gelten im stationären Bereich diagnosebezogene Fallpauschalen (DRG). Davon werden, was einige überraschen mag, auch zahnärztliche Leistun gen betroffen sein. Behandelt ein Zahnarzt einen Spitalpatienten (für den die Fallpauschale gilt), so muss der Behandler mit dem Spital (dem ja die Versiche rung die Pauschale vergütet) vorab klären, wie die zahnärztlichen Kosten a bge rechnet werden» (Urk. 27/6). Dass zwischen der</w:t>
      </w:r>
    </w:p>
    <w:p>
      <w:r>
        <w:t>Y.___ und der Invalidenversicherung kein Vertrag betreffend Anwendbarkeit der SwissDRG -Pauschalen abgeschlossen wor den sein soll, wurde vom Kläger nicht geltend gemacht. Er bestritt denn auch nicht, dass die Beklagte die hier fraglichen und</w:t>
      </w:r>
    </w:p>
    <w:p>
      <w:r>
        <w:t>von ihm erbrachten zahnärztli chen Leistungen im Rahmen von Swiss DRG -Pauschalen direkt der Y.___ vergütete (Urk. 23 S. 2). Das Vorhandensein eines Vertrages zwi schen der Invalidenversicherung und der Y.___ darf daher vorausgesetzt werden. Nicht zuletzt auch deshalb, weil sich dem Schreiben des BSV vom 28. Oktober 2014 an die SSO (Urk. 27/8) entnehmen lässt, dass in Fällen betreffend die Y.___ ein Anteil des Zahnarztes an der Swiss DRG -Pauschale im Umfang von 21 % dokumentiert sei (was auch aus den vorliegenden Rechnungen ersichtlich ist [Urk. 13/1-36]). Weiter wurde vom BSV festgehalten, im Vergleich zu früher, als die Kliniken eine Tagesteilpauschale und der Zahnarzt nach SSO-Einzellei s tungsziffern abgerechnet hätten, sei das sehr wenig. Damals hätten die Aufwendungen des Zahnarztes nach SSO-Tarif den An teil der Klinik, mittels Tagesteilpauschale verrechnet, zumindest bei komplexen Fällen bei Weitem übertroffen (Urk. 27/8 S. 2). Wie hoch der Anteil des Zahnarz tes an der Swiss DRG -Pauschale im Einzelnen ausfällt, wird im internen Verhält nis zwischen dem Spital und dem Zahnarzt geregelt und kann nicht Gegenstand des vorliegenden Verfahrens sein, selbst wenn der bescheidene Umfang des Be legzahnarztes von 21 % an der Swiss DRG -Pauschale Anlass für die Einleitung des vorliegenden Verfahrens gegeben haben könnte.</w:t>
      </w:r>
    </w:p>
    <w:p>
      <w:r>
        <w:rPr>
          <w:b/>
        </w:rPr>
        <w:t>E. 3.1.1</w:t>
      </w:r>
    </w:p>
    <w:p>
      <w:r>
        <w:t>Der Kläger legte 25 Verfügungen der Beklagten auf, in welchen Kostengutspra chen für medizinische Behandlungen der Geburtsgebrechen Nr. 125, Nr. 207, Nr. 208, Nr. 209 und/oder Nr. 210 erteilt worden waren, sowie die Berichte der Operationen, welche er in der Y.___ in den Jahren 2013 und 2014 durchgeführt und aufgrund derer er der Beklagten Rechnungen für die zahnärztlichen Behandlungen gestellt h atte (Urk. 13/1-5, Urk. 13/8-26 und Urk. 13/35).</w:t>
      </w:r>
    </w:p>
    <w:p>
      <w:r>
        <w:t>Diese zahlte die vom Kläger in Rechnung gestellten Behandlungen nicht direkt an ihn selbst aus, sondern erstattete die Kosten der Y.___ , welche dem Kläger jeweils ein anteilsmässiges Honorar ausbezahlte (vgl. Urk. 26 S. 2 und Urk. 13/1-5, Urk. 13/8-26 und Urk. 13/35). Unter den Parteien ist strittig, ob die vom Kläger durchgeführten Behandlungen nach Einzeltarif (Zahnarzttarif SSO-MTK/MV/IV) oder nach dem Swiss DRG -System zu entschädi gen sind. Der Kläger begründete die Anwendbarkeit des Zahnarzttarifs SSO-MTK/MV/IV mit Verweis auf zwei Gutachten ( Dr. iur . Gebha rd Eugster vom 30. Januar 2014 [ Urk. 2/4 ] und Prof. Dr. iur . Ueli Kieser vom 24. April 2017 [ Urk. 2/5 ] ).</w:t>
      </w:r>
    </w:p>
    <w:p>
      <w:r>
        <w:rPr>
          <w:b/>
        </w:rPr>
        <w:t>E. 3.1.2</w:t>
      </w:r>
    </w:p>
    <w:p>
      <w:r>
        <w:t>Ergänzend brachte der Kläger unter anderem vor, der zwischen der Schweizeri schen Zahnärzte-Gesellschaft SSO (nachfolgend: SSO) und der durch das BSV vertretenen Invalidenversicherung abgeschlossene Tarifvertrag sei bis zum heu tigen Zeitpunkt nicht gekündigt worden. Seine Leistungen seien nach wie vor nach diesem Tarifvertrag zu entschädigen. Das Vertragssystem SwissDRG , auf welches sich die Beklagte berufe, sei nicht auf die Belange der Invalidenversiche rung ausgerichtet und lasse sich auch nicht darau f bezogen anwenden ( Urk. 1 S. 5). Die gesetzes-, tarif- und vertragskonform eingereichten Rechnungen seien durch die Beklagte zu vergüten. Ob die gegenüber der stationären Einrichtung (allenfalls) vorgenommene Vergütung rechtmässig gewesen sei beziehungsweise zu Rückforderungen Anlass geben könne, sei nicht im vorliegenden Verfahren zu entscheiden ( Urk. 23 S. 3). Direktzahlungen der Beklagten an das Spital würden im Übrigen bezogen auf die Ansprüche des Kläge rs nicht befreiend wirken (Urk. 31 S. 3).</w:t>
      </w:r>
    </w:p>
    <w:p>
      <w:r>
        <w:rPr>
          <w:b/>
        </w:rPr>
        <w:t>E. 3.2</w:t>
      </w:r>
    </w:p>
    <w:p>
      <w:r>
        <w:t>Die Beklagte stellte sich demgegenüber auf den Standpunkt, sie habe die Kosten für die stationären zahnärztlichen Leistungen direkt an das Spital erstattet. Ein Vertragsverhältnis zwischen ihr und dem Kläger sei folglich nicht zustande ge kommen und dies unabhängig davon, ob er bei der Mitteilung über die Kosten gutsprache für medizinische Massnahmen als Durchführungsstelle aufgeführt worden sei oder nicht. Es bestehe kein Raum für Nachzahlungen. Im Übrigen sei eine Verletzung des Vertrauensschutzes zu verneinen ( Urk. 26 S. 2).</w:t>
      </w:r>
    </w:p>
    <w:p>
      <w:r>
        <w:rPr>
          <w:b/>
        </w:rPr>
        <w:t>E. 4</w:t>
      </w:r>
    </w:p>
    <w:p>
      <w:r>
        <w:t>.4 .3</w:t>
      </w:r>
    </w:p>
    <w:p>
      <w:r>
        <w:t>Der faktische Ausschluss der Beleg zahn ärzte als Auftragnehmer für stationäre Leistungen in Beleg arzt spitälern ist grundsätzlich auch ohne schriftliche Kündi gung des SSO-Zahnarzttarif-Vertrags</w:t>
      </w:r>
    </w:p>
    <w:p>
      <w:r>
        <w:t>zulässig, denn d ie Invalidenversicherung hat sich mit dessen Abschluss nicht verpflichtet, (einzig) den angeschlossenen Zahnärzten IV-Patienten zur Behandlung zuzuweisen (vgl. den Inhalt von Urk. 24/1). Auch ergibt die freie Wahl des Leistungserbringers gemäss Art. 26 bis</w:t>
      </w:r>
    </w:p>
    <w:p>
      <w:r>
        <w:t>Abs. 1 IVG keinen Anspruch auf freie Arztwahl im Spital im Falle einer stationä ren Behandlung. Vielmehr steht es in der Gestaltungsfreiheit der Invalidenversi cherung , diesbezüglich ausschliesslich mit Heilanstalten statt mit Belegzahnärz ten als Leistungserbringer</w:t>
      </w:r>
    </w:p>
    <w:p>
      <w:r>
        <w:t>zusammenzuarbeiten . Ebenso wenig besteht ein ver fassungsrechtlicher Anspruch der Ärzte oder Zahnärzte, von der Invalidenversi cherung Behandlungsaufträge zu erhalten . So kann auch aus der Wirtschaftsfrei heit nicht auf einen Anspruch des Arztes oder Zahnarztes auf die Ert eilung von Behandlungsaufträgen geschlossen werden . Eine Nichtzulassung als Leistungser bringer schliesst sodann lediglich den Anspruch aus, zu Lasten der Versicherung abrechnen zu können, nicht aber auch das Recht auf gewerbliche Betätigung (vgl. dazu auch BGE 138 II 398 E. 3.9.2 , 132 V 6 E. 2.5.2 und Gutachte n Eugster S. 20 ) . Schliesslich kann der Kläger auch durch den Verweis auf die von der Beklag ten zwischen 5. November 2001 und 1 5. April 2013 erteilten Kostengutsprachen - in welchen er ohnehin nur in neun der vorliegend umstrittenen 25 Fälle</w:t>
      </w:r>
    </w:p>
    <w:p>
      <w:r>
        <w:t>als Durch führungsstelle genannt wurde (vgl. Urk. 13/1-36) - nichts zu seinen Guns ten ab leiten. Zum einen wird in diesen l ediglich festgehalten, dass die Vergütung nach IV-Tarif erfolge. Auf welche vertragliche Vereinbarung sich dies bezieht, wird nicht näher spezifiziert. Zum andern waren nicht die Durchführungsstellen Adressaten der Verfügungen betreffend Kostengutsprache für medizinische Mass nahmen, sondern die jeweiligen versicherten Personen. Den Durchführungsstel len wurde lediglich eine Kopie davon zur Kenntnis gebracht. 4.4.4</w:t>
      </w:r>
    </w:p>
    <w:p>
      <w:r>
        <w:t>Dr. Eugster wies jedoch zu Recht darauf hin, dass die Invalidenversicherung nach den Regeln von Treu und Glauben ( Art.</w:t>
      </w:r>
    </w:p>
    <w:p>
      <w:r>
        <w:rPr>
          <w:b/>
        </w:rPr>
        <w:t>E. 4.5</w:t>
      </w:r>
    </w:p>
    <w:p>
      <w:r>
        <w:t>Die Klage ist nach dem Gesagten abzuweisen. Es erübrigt sich somit , die Frage der Aktivlegitimation des Klägers für das Erheben der vorliegenden Klage einge hender zu prüfen. 5 .</w:t>
      </w:r>
    </w:p>
    <w:p>
      <w:r>
        <w:t>In Anwendung von Art. 96 ZPO (§ 52 GSVGer ) sowie der §§ 4 Abs. 1 und 13 Abs. 1 der Gebührenverordnung des Obergerichts ist bei einem Streitwert von Fr. 136'374.37</w:t>
      </w:r>
    </w:p>
    <w:p>
      <w:r>
        <w:t>die Gerichtsgebühr auf Fr. 10'20 0.-- festzusetzen und dem unter liegenden Kläger aufzuerlegen. Das Schiedsgericht erkennt: 1.</w:t>
      </w:r>
    </w:p>
    <w:p>
      <w:r>
        <w:t>Die Klage wird abgewiesen. 2.</w:t>
      </w:r>
    </w:p>
    <w:p>
      <w:r>
        <w:t>Die Gerichtskosten von Fr. 1 0 ' 20 0.-- werden dem Kläger auferlegt. Rechnung und Ein zahlungsschein werden dem Kostenpflichtigen nach Eintritt der Rechtskraft zugestellt. 3 .</w:t>
      </w:r>
    </w:p>
    <w:p>
      <w:r>
        <w:t>Zustellung gegen Empfangsschein an: - Rechtsanwalt Dr. Ueli Kieser - Sozialversicherungsanstalt des Kantons Zürich, IV-Stelle - Bundesamt für Sozialversicherungen - Gesundheitsdirektion des Kantons Zürich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Schiedsgericht in Sozialversicherungsstreitigkeiten des Kantons Zürich Das leitende MitgliedDie Gerichtsschreiberin VogelLanzicher</w:t>
      </w:r>
    </w:p>
    <w:p>
      <w:r>
        <w:rPr>
          <w:b/>
        </w:rPr>
        <w:t>E. 9</w:t>
      </w:r>
    </w:p>
    <w:p>
      <w:r>
        <w:t>der Bundesverfassung der Schweizeri schen Eidgenossenschaft) verpflichtet war, die Einführung der SwissDRG -Fall pauschalen der SSO als Partnerin des Tarifvertrages unmissverständlich und rechtzeitig voranzukünden (Gutachten S. 22 f.) .</w:t>
      </w:r>
    </w:p>
    <w:p>
      <w:r>
        <w:t>Das Prinzip des Vertrauensschutzes kann insbesondere dann angerufen werden, wenn eine Praxis- oder Rechtsänderung eintritt, ohne dass die Möglichkeit der Anpassung oder Mitwirkung an der Gestaltung der neuen Rechtslage bestand. Die Rechtswirkung des Vertrauensschutzes besteht diesfalls in einer angemessenen Übergangsregelung bzw. angemessenen Übergangsfristen. Für die Bestimmung einer solchen Übergangsfrist kann man sich vorliegend an die Kündigungsfrist von einem Jahr gemäss dem SSO-Vertrag halten. Die neue Abrechnungsmethode wurde per 1. Januar 2012 eingeführt, sodass bis Ende Dezember 2012 Vertrau ensschutz bestand.</w:t>
      </w:r>
    </w:p>
    <w:p>
      <w:r>
        <w:t>Der Kläger führte die erste im vorliegenden Ver fahr en massgebende Operation am 11. Januar 2013 durch (vgl. Urk. 2/2). Nach der Einführung der Swiss DRG</w:t>
      </w:r>
    </w:p>
    <w:p>
      <w:r>
        <w:t>Anfang 2012 verblieb ihm damit etwas mehr als ein Jahr und entsprechend genügend Zeit , um mit der Y.___ zu klären, wie seine zahn ärztlichen Kosten im Falle einer stationären Behandlung abgerechnet würden . Eine solche Klärung wurde den Zahnärzten im SSO Internum N° 1/2012 denn auch empfohlen. Ob der Kläger diesbezügliche Abklärungen getätigt hat, kann vorliegend offenbleiben, kann es doch jedenfalls nicht der Beklagten angelastet werden, falls er dies unterlassen haben sollte.</w:t>
      </w:r>
    </w:p>
    <w:p>
      <w:r>
        <w:t>De m Kläger wurde zudem von der Y.___</w:t>
      </w:r>
    </w:p>
    <w:p>
      <w:r>
        <w:t>für jede Behandlung ein Honorar entrichtet (vgl. Urk. 13/1-36 jeweils letzte Seite). Mit der Annahme des Geldes anerkannte er stillschweigend eine Abgeltung gestützt auf das Ver tragssystem der SwissDRG . Hätte er nach wie vor darauf bestehen wollen, die von ihm erbrachte Leistung nach dem SSO-Tarifvertrag abzurechnen, hätte er die Ho norar zahlung der Y.___ zurückweisen müssen. Nachdem er dies nicht getan hatte, kann er nun nicht mehr mit Verweis auf den Vertrauens schutz eine seiner Ansicht nach bestehende Restforderung von der Beklagten ein verlangen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