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SR.2004.00002 vom 21. März 2006</w:t>
      </w:r>
    </w:p>
    <w:p>
      <w:r>
        <w:t>ZH Sozialversicherungsgericht, 2006-03-21, DE</w:t>
      </w:r>
    </w:p>
    <w:p>
      <w:r>
        <w:rPr>
          <w:b/>
        </w:rPr>
        <w:t xml:space="preserve">Quelle: </w:t>
      </w:r>
      <w:r>
        <w:t>https://mcp.opencaselaw.ch/entscheid/zh_sozialversicherungsgericht_SR.2004.00002</w:t>
      </w:r>
    </w:p>
    <w:p>
      <w:r>
        <w:t>FR: ZH_SOZIALVERSICHERUNGSGERICHT SR.2004.00002 du 21 mars 2006</w:t>
      </w:r>
    </w:p>
    <w:p>
      <w:r>
        <w:t>IT: ZH_SOZIALVERSICHERUNGSGERICHT SR.2004.00002 del 21 marzo 2006</w:t>
      </w:r>
    </w:p>
    <w:p>
      <w:pPr>
        <w:pStyle w:val="Heading2"/>
      </w:pPr>
      <w:r>
        <w:t>Erwägungen</w:t>
      </w:r>
    </w:p>
    <w:p>
      <w:r>
        <w:rPr>
          <w:b/>
        </w:rPr>
        <w:t>E. 2</w:t>
      </w:r>
    </w:p>
    <w:p>
      <w:r>
        <w:t>Â Â Â Â Â  Die Beklagte bringt zutreffenderweise vor (Urk. 7 S. 1 f.), dass nicht das "Altersheim A.___" passivlegitimiert sei, da dieses keine eigene RechtspersÃ¶nlichkeit besitze, sondern vielmehr die Stadt R.___ als Beklagte zu bezeichnen sei, die im vorliegenden Streit durch das Gesundheits- und Umweltdepartement vertreten werde (vgl. Art. 49 der Gemeindeordnung der Stadt R.___ in der Fassung ab 3. Dezember 2001). Die Parteibezeichnung ist von der Beklagten in der Replik ohne weitere Bemerkungen Ã¼bernommen worden (Urk. 26). Da im schiedsgerichtlichen Verfahren gleichermassen wie im Verfahren vor dem Sozialversicherungsgericht die Untersuchungsmaxime gilt, ist die Parteibezeichnung der Beklagten in Ãbereinstimmung mit den Parteien ohne weiteres zu korrigieren (vgl. Â§Â§ 37 und 23 des Gesetzes Ã¼ber das Sozialversicherungsgericht, GSVGer).</w:t>
      </w:r>
    </w:p>
    <w:p>
      <w:r>
        <w:t>3.Â Â Â Â Â Â  GemÃ¤ss Â§ 24 der bisherigen Fassung der Verordnung Ã¼ber das Schiedsgericht in Sozialversicherungsstreitigkeiten (SGVo) hatte das leitende Mitglied des Schiedsgerichts bei einem Streitwert bis Fr. 2'000.-- zwei Schiedsrichter beizuziehen respektive vier Schiedsrichter bei einem hÃ¶heren Streitwert, bei Streitigkeiten, welche ihrer Natur nach einer vermÃ¶gensrechtlichen SchÃ¤tzung nicht unterliegen, oder in Verfahren, welche den Kassenausschluss betreffen. GemÃ¤ss dem seit 1. Januar 2005 gÃ¼ltigen Â§ 49 Abs. 2 GSVGer bestimmt das leitende Mitglied unabhÃ¤ngig vom Streitwert je einen Schiedsrichter oder eine Schiedsrichterin aus den den Fall betreffenden Schiedsrichtergruppen.</w:t>
      </w:r>
    </w:p>
    <w:p>
      <w:r>
        <w:t>Â Â Â Â Â Â Â Â  Die altrechtliche Regelung sah aufgrund des Ã¼ber Fr. 2'000.-- liegenden Streitwertes den Beizug von zwei weiteren Schiedsrichtern im Hauptverfahren vor. Nach den seit 1. Januar 2005 geltenden Bestimmungen des GSVGer bedarf es ungeachtet des Streitwertes nur noch des Beizuges von insgesamt zwei Schiedsrichtern (Â§ 49 Abs. 2). Die Ãbergangsbestimmungen des GSVGer legen nun zwar fest, dass die geÃ¤nderten Bestimmungen auch auf Verfahren Anwendung finden, die im Zeitpunkt des Inkrafttretens rechtshÃ¤ngig sind (Abs. 1). Laut Absatz 2 der Ãbergangsbestimmung richtet sich aber die ZustÃ¤ndigkeit und die Zusammensetzung des Organs, bei dem ein Verfahren im Zeitpunkt des Inkrafttretens hÃ¤ngig ist, nach bisherigem Recht. Dies hat zur Folge, dass sich die Zusammensetzung des SpruchkÃ¶rpers nach Â§ 24 der bis 30. Juni 2005 in Kraft stehenden SGVo richtet. Somit ist der Beizug von insgesamt vier Schiedsrichtern erforderlich.</w:t>
      </w:r>
    </w:p>
    <w:p>
      <w:r>
        <w:t>Â Â Â Â Â Â Â Â  GemÃ¤ss Art. 89 Abs. 1 und 2 des Bundesgesetzes Ã¼ber die Krankenversicherung (KVG) entscheidet ein Schiedsgericht Streitigkeiten zwischen Versicherern und Leistungserbringern. ZustÃ¤ndig ist das Schiedsgericht desjenigen Kantons, dessen Tarif zur Anwendung gelangt oder desjenigen Kantons, in dem die stÃ¤ndige Einrichtung des Leistungserbringers liegt. Die KlÃ¤gerin ist zugelassene Krankenkasse im Sinne von Art. 12 KVG. Das Altersheim A.___ ist anerkannter Leistungserbringer gemÃ¤ss Art. 35 Abs. 2 lit. k KVG. Die sachliche und Ã¶rtliche ZustÃ¤ndigkeit sind denn auch unstreitig.</w:t>
      </w:r>
    </w:p>
    <w:p>
      <w:r>
        <w:t>4.aÂ Â Â Â  Die KlÃ¤gerin bringt materiell im Wesentlichen vor (Urk. 1), als zugelassener Leistungserbringer gemÃ¤ss Art. 12 des Bundesgesetzes Ã¼ber die Krankenversicherung (KVG) stelle das Altersheim A.___ gemÃ¤ss dem geltendem Tarif den Krankenversicherern die Vollpauschale entsprechend der Pflegestufe des Patienten in Rechnung. Das Pflegematerial - so auch die Inkontinenzprodukte - wÃ¼rden separat verrechnet. Die Verrechnung dieser Inkontinenzprodukte erfolge gemÃ¤ss einem Beschluss des Stadtrates von R.___ zu den HÃ¶chstsÃ¤tzen gemÃ¤ss der Mittel- und GegenstÃ¤ndeliste (MiGeL). Indessen liefere die Firma C.___ (Schweiz) AG dem Altersheim A.___ die Inkontinenzprodukte zu einem weit unter dem in der MiGeL vorgesehenen HÃ¶chstpreis. GemÃ¤ss Art. 56 Abs. 3 lit. b KVG mÃ¼sse der Leistungserbringer dem Schuldner der VergÃ¼tung die direkten oder indirekten VergÃ¼nstigungen weitergeben, die ihm Personen oder Einrichtungen gewÃ¤hrten, welche Arzneimittel oder der Untersuchung oder Behandlung dienende Mittel und GegenstÃ¤nde lieferten. Gebe der Leistungserbringer die VergÃ¼nstigung nicht weiter, so kÃ¶nne die versicherte Person oder der Versicherer deren Herausgabe verlangen. Aus den ins Recht gelegten Rechnungen an PensionÃ¤rinnen aus der Zeit vom Januar bis Dezember 2003 ergebe sich eine totale RÃ¼ckforderungssumme von Fr. 2'674.69 brutto. Davon abzuziehen seien 7,6 % Mehrwertsteuer und - analog des Tarmed - 10 % fÃ¼r Handlingskosten (Kosten fÃ¼r Einkauf, Lagerung, Abgabe), was eine NettorÃ¼ckforderungssumme von Fr. 2'203.30 ergebe. Die HÃ¶chstpreisangabe in der MiGeL kÃ¶nne nicht Ã¼ber-, wohl aber unterschritten werden (Urk. 1, Urk. 26).</w:t>
      </w:r>
    </w:p>
    <w:p>
      <w:r>
        <w:t>4.b. DemgegenÃ¼ber stellt sich die Beklagte auf den Standpunkt, grundsÃ¤tzlich sei sie in der Preisgestaltung bei den an die Pflegepatienten abgegebenen Inkontinenzprodukten frei; sie dÃ¼rfe sogar hÃ¶here Preise verlangen als die Mittel- und GegenstÃ¤ndeliste festsetze, wobei dann der Mehrbetrag gemÃ¤ss Art. 24 Abs. 2 KLV zu Lasten der versicherten Person ginge. Alters- und Pflegeheime seien Leistungserbringer, die - wie auch Ãrzte und Apotheken - neben der Deckung der eigenen Aufwendungen auch Anspruch hÃ¤tten auf einen Gewinnanteil (Urk. 7 S. 2). Im Ã¼brigen habe die Lieferfirma C.___ AG den stÃ¤dtischen Altersheimen einen einfachen Grosshandelspreis gewÃ¤hrt, keinen Spezialrabatt. Art. 56 Abs. 3 KVG sei nur dort anwendbar, wo zusÃ¤tzliche, in den normalen Lieferkonditionen nicht vorgesehene geldwerte Vorteile - oftmals zur VerstÃ¤rkung der Kundenbindung - nicht weitergegeben wÃ¼rden (Urk. 7 S. 3). Die Aufgabe des Prinzips, dass die geschuldete Versicherungsleistung bei Inkontinenzprodukten dem Preis entspricht, den die Abgabestelle von den Versicherten verlangt, hÃ¤tte in der Praxis ein nicht zu bewÃ¤ltigendes administratives Chaos zur Folge. Die in der MiGeL enthaltenen Preise seien als Festpreise zu verstehen (Urk. 21 S. 3); diese Auffassung vertrete auch der PreisÃ¼berwacher. Unter Hinweis auf einen Tarifentscheid des Bundesrates vom 1. Juli 1998 (RKUV 1998 5, S. 395 f.) sei es nicht zulÃ¤ssig, von der MiGeL abweichende Tarife zu schaffen (Urk. 26 S. 4). In der Duplik weist die Beklagte sodann auf die Neuordnung der MiGeL bezÃ¼glich Inkontinenzprodukte per 1. Januar 2005 hin und wirft die Frage auf, ob die im vorliegenden Verfahren gestellte Grundsatzfrage damit nicht hinfÃ¤llig geworden sei. Die neue MiGeL stÃ¼tze den Standpunkt der Beklagten, da an die Stelle von HÃ¶chstvergÃ¼tungsansÃ¤tzen pro Einzelprodukt nunmehr Jahrespauschalen treten wÃ¼rden (Urk. 32).</w:t>
      </w:r>
    </w:p>
    <w:p>
      <w:r>
        <w:t>5.Â Â Â Â Â Â  Da die angefÃ¼hrte Neuordnung der MiGeL bezÃ¼glich der VergÃ¼tung von Inkontinenzprodukten per 1. Januar 2005 in Kraft getreten ist, die hier strittige Frage indessen die HÃ¶he der RÃ¼ckerstattung von VergÃ¼tungen aus dem Jahr 2003 betrifft, ist die Klage anhand der dannzumal in Kraft gewesenen Mittel- und GegenstÃ¤ndeliste zu beurteilen, das heisst der MiGeL in der Fassung vom 1. Â Januar 2003, denn Â in zeitlicher Hinsicht sind grundsÃ¤tzlich diejenigen RechtssÃ¤tze massgebend, die bei ErfÃ¼llung des zu Rechtsfolgen fÃ¼hrenden Tatbestandes Geltung haben (BGE 126 V 136 Erw. 4b mit Hinweisen).</w:t>
      </w:r>
    </w:p>
    <w:p>
      <w:r>
        <w:t>6.aÂ Â Â Â  Die obligatorische Krankenpflegeversicherung Ã¼bernimmt die Kosten fÃ¼r die Leistungen, die der Diagnose oder Behandlung einer Krankheit und ihrer Folgen dienen (Art. 25 Abs. 1 KVG). Diese Leistungen umfassen unter anderem die Ã¤rztlich verordneten Analysen, Arzneimittel und der Untersuchung oder Behandlung dienenden Mittel und GegenstÃ¤nde (Art. 25 Abs. 2 lit. b KVG). Als allgemeine Voraussetzung hÃ¤lt Art. 32 Abs. 1 KVG fest, dass die Leistungen nach den Art. 25-31 KVG wirksam, zweckmÃ¤ssig und wirtschaftlich sein mÃ¼ssen. GemÃ¤ss Art. 52 Abs. 1 lit. a Ziff. 3 KVG erlÃ¤sst das Departement Bestimmungen Ã¼ber die Leistungspflicht und den Umfang der VergÃ¼tung bei Mitteln und GegenstÃ¤nden, die der Untersuchung oder Behandlung dienen. Das Departement hat gestÃ¼tzt auf Art. 52 Abs. 1 lit. a Ziff. 3 KVG die Mittel- und GegenstÃ¤nde-Liste (MiGeL, Anhang 2 zur KLV) erlassen. Weitere diesbezÃ¼gliche Normen finden sich in den Art. 20 -24 KLV. Der Behandlung dienende Mittel und GegenstÃ¤nde dÃ¼rfen hÃ¶chstens nach den in der entsprechenden Liste festgesetzten Tarifen, Preisen und VergÃ¼tungssÃ¤tzen verrechnet werden (Art. 52 Abs. 3 erster Satz in Verbindung mit Abs. 1 KVG, Art. 24 Abs. 1 KLV).</w:t>
      </w:r>
    </w:p>
    <w:p>
      <w:r>
        <w:t>6.bÂ Â Â Â  GemÃ¤ss Art. 56 Abs. 3 lit. b KVG muss der Leistungserbringer dem Schuldner der VergÃ¼tung die direkten oder indirekten VergÃ¼nstigungen weitergeben, die ihm Personen oder Einrichtungen gewÃ¤hren, welche Arzneimittel oder der Untersuchung oder Behandlung dienende Mittel oder GegenstÃ¤nde liefern. Gibt der Leistungserbringer die VergÃ¼nstigung nicht weiter, so kann die versicherte Person oder der Versicherer deren Herausgabe verlangen (Art. 56 Abs. 4 KVG). Sowohl im System des tiers payant als auch im System der tiers garant hat der Versicherer ein direktes RÃ¼ckforderungsrecht gegenÃ¼ber dem Leistungserbringer (Art. 56 Abs. 2 KVG).</w:t>
      </w:r>
    </w:p>
    <w:p>
      <w:r>
        <w:t>7.aÂ Â Â Â  Die MiGeL enthÃ¤lt eine abschliessende AufzÃ¤hlung. Dies bedeutet, dass nicht auf der Liste angefÃ¼hrte Produkte von der obligatorischen Krankenpflegeversicherung nicht Ã¼bernommen werden (nicht publizierte Erw. 7 des Urteils BGE 125 V 435 und Urteil des EidgenÃ¶ssischen Versicherungsgerichts (EVG) vom 5. November 2001, K 157/00, 1. Kammer, Erw. 3 b aa). Weiter stellte das EVG im letztgenannten Entscheid fest, es gehe nicht an, einfach auf die hÃ¶heren Preise abzustellen, wenn Mittel und GegenstÃ¤nde auf den Markt kÃ¤men, die gÃ¼nstiger als bisher in die Liste aufgenommene sind. Damit wÃ¼rde das Gebot der Wirtschaftlichkeit verletzt.</w:t>
      </w:r>
    </w:p>
    <w:p>
      <w:r>
        <w:t>7.bÂ Â Â Â  In der Liste der von den Krankenversicherern im Rahmen der obligatorischen Krankenpflegeversicherung als Pflichtleistung zu vergÃ¼tenden Mittel und GegenstÃ¤nde in der Fassung vom 1. Januar 2003 wird angefÃ¼hrt,</w:t>
      </w:r>
    </w:p>
    <w:p>
      <w:r>
        <w:t>Â· dass die Mehrwertsteuer in den HÃ¶chstvergÃ¼tungsbetrÃ¤gen inbegriffen ist (S. 12),</w:t>
      </w:r>
    </w:p>
    <w:p>
      <w:r>
        <w:t>Â· dass nur Einlagen bei mittlerer und schwerer, nicht aber bei leichter Inkontinenz vergÃ¼tungspflichtig sind (S. 18/19 und Position 15, S. 46),</w:t>
      </w:r>
    </w:p>
    <w:p>
      <w:r>
        <w:t>Â· dass nur bei krankheits- oder unfallbedingter Inkontinenz, nicht aber bei altersbedingter Inkontinenz eine Leistungspflicht besteht (S. 46).</w:t>
      </w:r>
    </w:p>
    <w:p>
      <w:r>
        <w:t>8.Â Â Â Â Â Â  Aus den von der KlÃ¤gerin ins Recht gelegten Abrechnungen (Urk. 2/3 - 9) geht nicht hervor, ob die Inkontinenzprodukte tatsÃ¤chlich wegen einer Krankheit oder eines Unfalls abgegeben und von der obligatorischen Krankenversicherung rÃ¼ckvergÃ¼tet wurden. Rein altersmÃ¤ssig bedingte Inkontinenzen wÃ¤ren demnach nicht vergÃ¼tungspflichtig. Dieser Punkt ist indessen nicht weiter zu Ã¼berprÃ¼fen, da er von der KlÃ¤gerin nicht geltend gemacht wurde.</w:t>
      </w:r>
    </w:p>
    <w:p>
      <w:r>
        <w:t>9.aÂ Â Â Â  Es bleibt die Frage zu prÃ¼fen, ob die Beklagte im Sinne von Art. 56 KVG eine direkte oder indirekte VergÃ¼tung, die sie erhalten hat, zu Unrecht nicht weitergegeben hat. Laut der Position 15 ÂInkontinenzeinlagenÂ der MiGeL betrÃ¤gt der HÃ¶chstpreis fÃ¼r eine grosse Inkontinenzeinlage mit mittlerer Saugleistung Fr. 1.10, mit starker Saugleistung Fr. 1.30. Dies ist denn auch der Preis, den das Altersheim A.___ laut den ins Recht gelegten PensionÃ¤rsrechnungen (Urk. 3/3 - 3/9) weiter verrechnete und den die KlÃ¤gerin der Beklagten rÃ¼ckvergÃ¼tete (Aufstellung der KlÃ¤gerin, Urk. 3/11). Aus der Rechnung der Firma C.___ Schweiz AG vom 3. Oktober 2003 (Urk. 3/10) geht anderseits hervor, dass die Firma dem Altersheim A.___ fÃ¼r dieselbe Positionen der MiGeL Fr. 0.43 bzw. Fr. 0.55 ohne Mehrwertsteuer in Rechnung gestellt hat (Artikel Nr. 7310.0 ÂSanetteÂ Tag, weiss 1 Karton Ã  80 StÃ¼ck fÃ¼r Fr. 34.55; Artikel Nr. 7320.0 ÂSanetteÂ Tag Extra, 1 Karton Ã  80 StÃ¼ck fÃ¼r Fr. 43.80). Das VerhÃ¤ltnis zwischen dem Einkaufspreis plus Mehrwertsteuer (Fr. 0.46.25 beziehungsweise Fr. 0.59.18) zum weiterverrechneten Preis (Fr. 1.10 und Fr. 1.30) betrÃ¤gt 219 bis 237 %.</w:t>
      </w:r>
    </w:p>
    <w:p>
      <w:r>
        <w:t>9.bÂ Â Â Â  Eine VergÃ¼tung in dieser GrÃ¶ssenordnung kann nicht mehr als gewÃ¶hnlicher Grosshandelspreis bezeichnet werden; vielmehr liegt ein Spezialrabatt vor. Eine genaue, Ã¶konomisch korrekte Qualifizierung des hier im Streite liegenden Rabatts erÃ¼brigt sich indessen, da - entgegen der Ansicht von Maurer (Krankenversicherung, 1996, S. 98) - gemÃ¤ss bundesgerichtlicher Rechtsprechung keine Grenze gezogen wird zwischen weiterzugebender Rabatte und nicht weiterzugebender Rabatte. Bei den weiterzugebenden Rabatten ist auch der Grund der RabattgewÃ¤hrung nicht von Bedeutung, schon gar nicht kann davon ausgegangen werden, dass Rabatte, die als Anreiz zur Umsatzsteigerung gewÃ¤hrt werden, von der Pflicht zur Weitergabe gemÃ¤ss Art. 56 Abs. 3 lit. b KVG enthoben sind (Hinweis in Urk. 21 S. 6 auf Poledna/Berger, Ãffentliches Gesundheitswesen, 2002, N 527). Es leuchtet indessen ohne weiteres ein, dass sowohl die Mehrwertsteuer als auch ein gewisser Prozentsatz fÃ¼r Kosten der Lagerung, des Handlings Ã¼berhaupt dazugeschlagen werden kÃ¶nnen. Die von der KlÃ¤gerin veranschlagten 10 % erscheinen als angemessen. Als Zwischenresultat kann festgehalten werden, dass der Leistungserbringer eine ihm gewÃ¤hrte VergÃ¼tung weiterzugeben hat und somit in der Preisgestaltung - soweit es sich um Leistungen im Bereich der obligatorischen Krankenpflegeversicherung handelt - nicht frei ist.</w:t>
      </w:r>
    </w:p>
    <w:p>
      <w:r>
        <w:t>Â Â Â Â Â Â Â Â</w:t>
      </w:r>
    </w:p>
    <w:p>
      <w:r>
        <w:t>10.Â Â Â Â  Die Beklagte argumentierte sodann, die von der KlÃ¤gerin verlangte Weitergabe der ihr gewÃ¤hrten Rabatte wÃ¼rde einen unzumutbaren administrativen Mehraufwand bedeuten. Hiezu ist folgendes zu erwÃ¤hnen:</w:t>
      </w:r>
    </w:p>
    <w:p>
      <w:r>
        <w:t>Â Â Â Â Â Â Â Â  Es gibt im Grundsatz zwei MÃ¶glichkeiten, die Kosten fÃ¼r Mittel- und GegenstÃ¤nde (und Medikamente) zu decken. Entweder kalkuliert man den Aufwand und die Rabatte in die Tarifgrundlagen und somit in die (Tages-) -Pauschalen mit ein oder man stellt Preise nach bezogener Einzelleistung in Rechnung. Sind die Kosten in der (Tages-) -Pauschalen enthalten, erÃ¼brigt sich eine weitere Betrachtung. Denn die den Tarifkalkulationen oder Festsetzungen zu Grunde liegenden Erfolgsrechnungen sollten in der Regel alle Aufwendungen in realer GrÃ¶sse enthalten, einschliesslich der als Aufwandminderung wirkenden Rabatte sowie deren verteuernden Abgeltung fÃ¼r die benÃ¶tigten und eingesetzten betrieblichen Ressourcen. Ein wohl administrativ einfaches und leicht handhabbares Verfahren, das die Kosten gleichmÃ¤ssig und solidarisch verteilt, Vielbeziehende in der Regel bevorzugt und Wenigbeziehende in der Regel benachteiligt.</w:t>
      </w:r>
    </w:p>
    <w:p>
      <w:r>
        <w:t>Â Â Â Â Â Â Â Â  Bei der Einzelleistungs-Verrechnung hingegen sind die effektiven BezÃ¼ge massgebend. Das kann als gerechter empfunden werden, stellt wohl aber - wie die Beklagte zutreffend ausfÃ¼hrt - hÃ¶here Anforderungen an eine Organisation und an deren Infrastruktur. Die Beklagte verkennt indessen, dass es aus rechtlicher Sicht (und wohl auch aus politischer) relevant ist, ob und welcher Anteil einer Finanzierung Ã¼ber die obligatorische Krankenpflegeversicherung oder den Staat erfolgt. Selbst wenn auch diesem Umstand Folge geleistet wÃ¤re und es sich um ein Nullsummenspiel auf Versicherungsseite handeln wÃ¼rde (Kompensation bei zu tiefen Taxen Ã¼ber zusÃ¤tzlich oder gar Ã¼berhÃ¶ht verrechnete Mittel und GegenstÃ¤nde), gilt es die gesetzlichen Vorgaben zu berÃ¼cksichtigen. Und eine solche ist - wie erwÃ¤hnt - die Weitergabe von Rabatten. Die Beklagte hat es offenbar unterlassen, sich in dieser Sache mit ihren Partnern vertraglich zu einigen - jedenfalls hat sie im Rahmen dieses Verfahrens das Bestehen solcher vertraglicher Abmachungen nicht geltend gemacht.</w:t>
      </w:r>
    </w:p>
    <w:p>
      <w:r>
        <w:t>11.Â Â Â Â  Es bleibt das Quantitativum zu prÃ¼fen. Als Grundlage fÃ¼r die geltend gemachte Forderungssumme reichte die KlÃ¤gerin einerseits PensionÃ¤rsabrechnungen aus dem Jahr 2003 (Urk. 2/3 bis Urk. 2/9) von sieben verschiedenen Personen ein und anderseits eine Aufstellung mittels einer Excel-Datei betreffend sechs Personen. Lediglich betreffend die vier PensionÃ¤rinnen D.___, E.___, F.___ und G.___ sind sowohl die PensionÃ¤rsabrechnungen als auch die Excel-Aufstellung in den Akten, sodass lediglich fÃ¼r diese vier Personen die RÃ¼ckforderungssumme nachvollzogen werden kann. FÃ¼r diese vier PensionÃ¤rinnen errechnete die KlÃ¤gerin einen gesamten Brutto-RÃ¼ckforderungsbetrag von Fr. 1'874.48 (Fr. 272.04 + Fr. 405.14 + Fr. 127.14 + Fr. 1070.16). Zieht man die Mehrwertsteuer von 7,6 % sowie die von der KlÃ¤gerin zugestandenen Kosten fÃ¼r das Handling von 10 % ab, so ergibt sich bezÃ¼glich dieser vier erwÃ¤hnten PensionÃ¤rinnen ein effektiv zurÃ¼ckzuerstattender Betrag von Fr. 1'544.60. Die Klage ist demgemÃ¤ss in dieser HÃ¶he gutzuheissen.</w:t>
      </w:r>
    </w:p>
    <w:p>
      <w:r>
        <w:t>12.Â Â Â Â  Die Kosten- und EntschÃ¤digungsfolge richtet sich nach den Bestimmungen des entsprechenden Absatzes der Zivilprozessordnung (Â§ 52 GSVGer). GemÃ¤ss Â§ 64 Abs. 1 und 2 der Zivilprozessordnung werden die Gerichtskosten in der Regel der unterliegenden Partei auferlegt. Obsiegt keine Partei vollstÃ¤ndig, werden die Kosten verhÃ¤ltnismÃ¤ssig verteilt. Bei einem Streitwert von rund Fr. 2'300.-- ist diese auf Fr. 360.-- anzusetzen. Da die KlÃ¤gerin materiell in der Sache obsiegt, rechnerisch indessen nur rund die HÃ¤lfte des eingeklagten Betrages zugesprochen erhÃ¤lt, rechtfertigt es sich, dass die Kosten den Parteien je zur HÃ¤lfte auferlegt werden.</w:t>
      </w:r>
    </w:p>
    <w:p>
      <w:r>
        <w:t>Das Schiedsgericht erkennt:</w:t>
      </w:r>
    </w:p>
    <w:p>
      <w:r>
        <w:t>1.Â Â Â Â Â Â Â Â  Die Klage wird teilweise gutgeheissen und die Beklagte verpflichtet, der KlÃ¤gerin fÃ¼r zuviel bezahlte Rechnungen betreffend Inkontinenzprodukte von vier PensionÃ¤rinnen Fr. 1Â544.60 zurÃ¼ckzuerstatten.</w:t>
      </w:r>
    </w:p>
    <w:p>
      <w:r>
        <w:t>2.Â Â Â Â Â Â Â Â  Die Kosten des Verfahrens, bestehend aus:</w:t>
      </w:r>
    </w:p>
    <w:p>
      <w:r>
        <w:t>SpruchgebÃ¼hr:Â Â Â Â Â Â Â Â Â Â Â Â  Fr.Â Â Â Â Â Â Â Â Â Â Â Â  360.--</w:t>
      </w:r>
    </w:p>
    <w:p>
      <w:r>
        <w:t>SchreibgebÃ¼hren:Â Â Â Â Â Â Â Â Â Â Â Â  Fr.Â Â Â Â Â Â Â Â Â Â Â Â  230.--</w:t>
      </w:r>
    </w:p>
    <w:p>
      <w:r>
        <w:t>VorladungsgebÃ¼hren:Â Â Â Â Â Â Â Â Â Â Â Â  Fr.Â Â Â Â Â Â Â Â Â Â Â Â  60.--</w:t>
      </w:r>
    </w:p>
    <w:p>
      <w:r>
        <w:t>ZustellungsgebÃ¼hren:Â Â Â Â Â Â Â Â Â Â Â Â  Fr.Â Â Â Â Â Â Â Â Â Â Â Â  190--</w:t>
      </w:r>
    </w:p>
    <w:p>
      <w:r>
        <w:t>Total:Â Â Â Â Â Â Â Â Â Â Â Â  Fr.Â Â Â Â Â Â Â Â Â Â Â Â  840.--</w:t>
      </w:r>
    </w:p>
    <w:p>
      <w:r>
        <w:t>werden den Parteien je zur HÃ¤lfte aufgelegt. Rechnung und Einzahlungsschein werden der Kostenpflichtigen nach Eintritt der Rechtskraft zugestellt.</w:t>
      </w:r>
    </w:p>
    <w:p>
      <w:r>
        <w:rPr>
          <w:b/>
        </w:rPr>
        <w:t>E. 3</w:t>
      </w:r>
    </w:p>
    <w:p>
      <w:r>
        <w:t>Zustellung gegen Empfangsschein an:</w:t>
      </w:r>
    </w:p>
    <w:p>
      <w:r>
        <w:t>- V.___</w:t>
      </w:r>
    </w:p>
    <w:p>
      <w:r>
        <w:t>- Vorsteher des Departements B.___</w:t>
      </w:r>
    </w:p>
    <w:p>
      <w:r>
        <w:t>- Bundesamt fÃ¼r Gesundheit</w:t>
      </w:r>
    </w:p>
    <w:p>
      <w:r>
        <w:t>- Gesundheitsdirektion des Kantons ZÃ¼rich</w:t>
      </w:r>
    </w:p>
    <w:p>
      <w:r>
        <w:t>sowie an:</w:t>
      </w:r>
    </w:p>
    <w:p>
      <w:r>
        <w:t>- Gerichtskasse (nach Eintritt der Rechtskraft)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w:t>
      </w:r>
    </w:p>
    <w:p>
      <w:r>
        <w:t>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