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SR.2001.00004 vom 13. Oktober 2003</w:t>
      </w:r>
    </w:p>
    <w:p>
      <w:r>
        <w:t>ZH Sozialversicherungsgericht, 2003-10-13, DE</w:t>
      </w:r>
    </w:p>
    <w:p>
      <w:r>
        <w:rPr>
          <w:b/>
        </w:rPr>
        <w:t xml:space="preserve">Quelle: </w:t>
      </w:r>
      <w:r>
        <w:t>https://mcp.opencaselaw.ch/entscheid/zh_sozialversicherungsgericht_SR.2001.00004</w:t>
      </w:r>
    </w:p>
    <w:p>
      <w:r>
        <w:t>FR: ZH_SOZIALVERSICHERUNGSGERICHT SR.2001.00004 du 13 octobre 2003</w:t>
      </w:r>
    </w:p>
    <w:p>
      <w:r>
        <w:t>IT: ZH_SOZIALVERSICHERUNGSGERICHT SR.2001.00004 del 13 ottobre 2003</w:t>
      </w:r>
    </w:p>
    <w:p>
      <w:pPr>
        <w:pStyle w:val="Heading2"/>
      </w:pPr>
      <w:r>
        <w:t>Erwägungen</w:t>
      </w:r>
    </w:p>
    <w:p>
      <w:r>
        <w:rPr>
          <w:b/>
        </w:rPr>
        <w:t>E. 3</w:t>
      </w:r>
    </w:p>
    <w:p>
      <w:r>
        <w:t>3.1Â Â Â Â  GemÃ¤ss Art. 42 Abs. 3 KVG muss der Leistungserbringer dem Schuldner eine detaillierte und verstÃ¤ndliche Rechnung zustellen. Er muss ihm auch alle Angaben machen, die er benÃ¶tigt, um die Berechnung der VergÃ¼tung und die Wirtschaftlichkeit der Leistung Ã¼berprÃ¼fen zu kÃ¶nnen. Der Versicherer kann eine genaue Diagnose oder zusÃ¤tzliche AuskÃ¼nfte medizinischer Natur verlangen (Art. 42 Abs. 4 KVG). In begrÃ¼ndeten FÃ¤llen ist der Leistungserbringer berechtigt und auf Verlangen der versicherten Person in jedem Fall verpflichtet, medizinische Angaben nur dem Vertrauensarzt oder der VertrauensÃ¤rztin des Versicherers nach Artikel 57 bekanntzugeben (Art. 42 Abs. 5 KVG).</w:t>
      </w:r>
    </w:p>
    <w:p>
      <w:r>
        <w:t>3.2Â Â Â Â  VertrauensÃ¤rzte und VertrauensÃ¤rztinnen beraten die Versicherer in medizinischen Fachfragen sowie in Fragen der VergÃ¼tung und der Tarifanwendung. Sie Ã¼berprÃ¼fen insbesondere die Voraussetzungen der Leistungspflicht des Versicherers (Art. 57 Abs. 4 KVG). Die Leistungserbringer mÃ¼ssen den VertrauensÃ¤rzten und VertrauensÃ¤rztinnen die zur ErfÃ¼llung ihrer Aufgaben nach Absatz 4 notwendigen Angaben liefern (Art. 57 Abs. 6 Satz1 KVG). Die VertrauensÃ¤rzte und VertrauensÃ¤rztinnen geben den zustÃ¤ndigen Stellen der Versicherer nur diejenigen Angaben weiter, die notwendig sind, um Ã¼ber die Leistungspflicht zu entscheiden, die VergÃ¼tung festzusetzen oder eine VerfÃ¼gung zu begrÃ¼nden. Dabei wahren sie die PersÃ¶nlichkeitsrechte der Versicherten (Art. 57 Abs. 7 KVG).</w:t>
      </w:r>
    </w:p>
    <w:p>
      <w:r>
        <w:rPr>
          <w:b/>
        </w:rPr>
        <w:t>E. 4</w:t>
      </w:r>
    </w:p>
    <w:p>
      <w:r>
        <w:t>4.1Â Â Â Â  ZunÃ¤chst stellt sich die Frage nach dem Umfang des von der KlÃ¤gerin geltend gemachten Akteneditionsanspruchs.</w:t>
      </w:r>
    </w:p>
    <w:p>
      <w:r>
        <w:t>Â Â Â Â Â Â Â Â  Die KlÃ¤gerin verlangt die Herausgabe des vollstÃ¤ndigen Patientendossiers mit der einzigen BegrÃ¼ndung, sie wolle die Wirtschaftlichkeit der Behandlung Ã¼berprÃ¼fen, ohne im Hinblick darauf detailliert darzulegen, wozu und weshalb sie sÃ¤mtliche Akten benÃ¶tigt (Urk. 13 Ziff. 5).</w:t>
      </w:r>
    </w:p>
    <w:p>
      <w:r>
        <w:t>Gegen die von der KlÃ¤gerin verlangte umfassende Herausgabe sÃ¤mtlicher Akten des streitbetroffenen Behandlungsfalles wendet der Beklagte ein, dass Art. 42 Abs. 3 KVG nach seinem klaren Wortlaut das Editionsrecht auf jene Akten beschrÃ¤nke, welche der Schuldner benÃ¶tige, um die Berechnung der VergÃ¼tung und die Wirtschaftlichkeit der Leistung Ã¼berprÃ¼fen zu kÃ¶nnen. Zweck dieser ÃberprÃ¼fung kÃ¶nne nur die Verweigerung der VergÃ¼tung fÃ¼r unwirtschaftliche Leistungen bzw. die RÃ¼ckforderung einer unrechtmÃ¤ssigen VergÃ¼tung im Sinne von Art. 56 Abs. 2 KVG sein, und an diesem Zweck habe sich der Umfang des Editionsanspruchs nach dem VerhÃ¤ltnismÃ¤ssigkeitsprinzip zu orientieren; er gehe nur so weit, als er zur ErfÃ¼llung dieses Zweckes erforderlich sei (Urk. 8 und Urk. 20).</w:t>
      </w:r>
    </w:p>
    <w:p>
      <w:r>
        <w:t>4.2Â Â Â Â  So sehr dem Beklagten in Bezug auf diese - auch dem aufgehobenen Beschluss des Schiedsgerichts vom 25. Januar 2001 zugrunde gelegenen - Ãberlegungen zuzustimmen und so deutlich im vorliegenden Fall erkennbar ist, dass die KlÃ¤gerin zur ÃberprÃ¼fung der Wirtschaftlichkeit der gemÃ¤ss KVG vergÃ¼teten Leistungen objektiv nicht sÃ¤mtliche Behandlungsunterlagen benÃ¶tigt, sondern allenfalls diejenigen, welche fÃ¼r die Beurteilung der Dauer der SpitalbedÃ¼rftigkeit erforderlich sind (aus der KVG-Grundversicherung hat sie ja Tagespauschalen vergÃ¼tet), so offenkundig also erscheint, dass die KlÃ¤gerin Operationsbericht, Narkoseprotokoll und Rechnungsdetails (vgl. Urk. 2/2/3) nicht zur ÃberprÃ¼fung der Leistungspflicht nach KVG, sondern zur ÃberprÃ¼fung der Leistungspflicht aus der privaten Zusatzversicherung (welcher mehr als 90 % des Gesamtrechnungsbetrags belastet wurden) und/oder zu einem anderen Zweck anfordert, steht einer EinschrÃ¤nkung des klÃ¤gerischen Akteneinsichtsrechts die dem RÃ¼ckweisungsentscheid des EidgenÃ¶ssischen Versicherungsgerichts zugrundeliegende Rechtsauffassung entgegen, an welche das Schiedsgericht im Rahmen der erneuten Beurteilung dieses Falles gebunden ist.</w:t>
      </w:r>
    </w:p>
    <w:p>
      <w:r>
        <w:t>4.3Â Â Â Â  In seinem RÃ¼ckweisungsentscheid hat das EidgenÃ¶ssische Versicherungsgericht die Rechtsauffassung des Schiedsgerichts, wonach das Editionsrecht des Versicherers gemÃ¤ss Art. 42 Abs. 3 und 4 KVG ein zur VergÃ¼tungspflicht oder zum RÃ¼ckforderungsrecht akzessorisches sei, verworfen und festgehalten, dass Art. 42 Abs. 3 und 4 KVG eine selbstÃ¤ndige, von Art. 56 Abs. 2 KVG unabhÃ¤ngige Editionspflicht begrÃ¼nde, an deren Beurteilung die KlÃ¤gerin ein rechtlich geschÃ¼tztes Interesse habe (Erw. 4). Dass es dabei nicht nur um die prozessuale Frage der selbstÃ¤ndigen Einklagbarkeit geht, sondern das EidgenÃ¶ssische Versicherungsgericht die Zweckbindung der WirtschaftlichkeitsprÃ¼fung nach Art. 42 Abs. 3 KVG an konkrete VergÃ¼tungs- oder RÃ¼ckerstattungsansprÃ¼che aus dem KVG (allfÃ¤llige AnsprÃ¼che aus Art. 56 Abs. 2 KVG) verneint, ergibt sich daraus, dass es auch verlangt, zur Bestimmung des Umfangs der Auskunftspflicht sei auf das subjektive Interesse des (VergÃ¼tungs)Schuldners abzustellen. Massgeblich fÃ¼r den Umfang des Editionsanspruchs ist nach Auffassung des EidgenÃ¶ssischen Versicherungsgerichts nÃ¤mlich nicht etwa, was nach objektiven Gesichtspunkten und unter Beachtung des VerhÃ¤ltnismÃ¤ssigkeitsprinzips zweckmÃ¤ssig und erforderlich ist, damit der Schuldner seine Rechte und Pflichten aus dem KVG wahrnehmen kann, sondern - unter Bezugnahme auf eine Fussnotenbemerkung von Eugster, welche allerdings den eingeklammerten Hinweis auf die WirtschaftlichkeitsprÃ¼fung gemÃ¤ss Art. 32 KVG nicht enthÃ¤lt (Eugster Krankenversicherung in: Schweizerisches Bundesverwaltungsrecht [SBVR], Soziale Sicherheit, Fn 523) - Âwas der Schuldner fÃ¼r die Durchsetzung seiner Rechte (und der Pflicht zur Kontrolle der Wirtschaftlichkeit gemÃ¤ss Art. 32 KVG) als notwendig erachtetÂ (Erw. 4, S. 5 unten).</w:t>
      </w:r>
    </w:p>
    <w:p>
      <w:r>
        <w:t>Â Â Â Â Â Â Â Â  Weshalb das EidgenÃ¶ssische Versicherungsgericht in diesem Zusammenhang auf Art. 32 KVG hinweist, ist nicht nachvollziehbar. Denn einerseits ist die abstrakte WirtschaftlichkeitsprÃ¼fung im Sinne von Art. 32 Abs. 2 KVG (PrÃ¼fung der Wirtschaftlichkeit der einzelnen Leistungen des Pflichtleistungskatalogs) nicht Aufgabe der Krankenversicherer und andererseits erfordert sie auch keine Personendaten im Sinne von Art. 3 lit. a des Bundesgesetzes Ã¼ber den Datenschutz.</w:t>
      </w:r>
    </w:p>
    <w:p>
      <w:r>
        <w:t>4.4.Â Â Â  Nach dieser Rechtsprechung genÃ¼gt allein der Umstand, dass ein Krankenversicherer VergÃ¼tungen gemÃ¤ss KVG geleistet hat (bzw. er nach eigener Ansicht gegebenenfalls solche zu leisten hat), um ihn gestÃ¼tzt auf Art. 42 Abs. 3 und 4 KVG zum Erhalt jedwelcher medizinischer AuskÃ¼nfte zu legitimieren, welche er zu benÃ¶tigen vorgibt, um die Berechnung von VergÃ¼tungen und die Wirtschaftlichkeit von Leistungen Ã¼berprÃ¼fen zu kÃ¶nnen.</w:t>
      </w:r>
    </w:p>
    <w:p>
      <w:r>
        <w:t>Dabei ist er - entgegen beklagtischer Ansicht (Urk. 20 Ziff. 5) - keineswegs gehalten, detailliert darzulegen, wie er die Berechnung von VergÃ¼tungen und die Wirtschaftlichkeit von Leistungen Ã¼berprÃ¼fen will, und zu begrÃ¼nden, weshalb er im Hinblick darauf die angeforderten medizinischen Informationen benÃ¶tigt. Denn aus der BegrÃ¼ndung des Auskunftsbegehrens kann der Leistungserbringer nichts zu Gunsten des RÃ¼ckbehalts von medizinischen Angaben ableiten. Selbst wenn die BegrÃ¼ndung in keiner Weise zu Ã¼berzeugen vermag, Ã¤ndert das nichts daran, dass der Krankenversicherer die Edition Âals notwendig erachtetÂ, bzw. vorgibt, sie als notwendig zu erachten.</w:t>
      </w:r>
    </w:p>
    <w:p>
      <w:r>
        <w:t>Eine gerichtliche ÃberprÃ¼fung des Editionsbegehrens unter dem Gesichtspunkt der ZweckmÃ¤ssigkeit und Notwendigkeit ist unter diesen UmstÃ¤nden nicht nur nicht nÃ¶tig, sondern gar nicht mÃ¶glich. Denn die Zweckbindung des Editionsanspruchs und die Massgeblichkeit objektiver Kriterien im Hinblick auf diesen Zweck sind logische Voraussetzungen fÃ¼r eine gerichtliche ÃberprÃ¼fung.</w:t>
      </w:r>
    </w:p>
    <w:p>
      <w:r>
        <w:t>GemÃ¤ss der mit dem RÃ¼ckweisungsentscheid im vorliegenden Fall begrÃ¼ndeten Rechtsprechung des EidgenÃ¶ssischen Versicherungsgerichts ist es den Krankenversicherern daher ohne weiteres mÃ¶glich, gestÃ¼tzt auf den Auskunftsanspruch nach KVG medizinische Informationen auch fÃ¼r die Rechnungs- und WirtschaftlichkeitsprÃ¼fung im Bereich einer gegebenenfalls von ihnen betriebenen Privatversicherung erhÃ¤ltlich zu machen. Es ist ihnen sogar mÃ¶glich, unter Verwendung von anamnestischen Angaben, welche sie sich vorgeblich zur Rechnungs- und WirtschaftlichkeitsprÃ¼fung beschaffen, im Bereich der Privatversicherung Risikoselektion zu betreiben. Da Krankengeschichten hÃ¤ufig auch familienanamnestische Angaben enthalten, kÃ¶nnen davon sogar FamilienangehÃ¶rige der versicherten Person betroffen sein.</w:t>
      </w:r>
    </w:p>
    <w:p>
      <w:r>
        <w:t>All dem kann nicht einmal unter dem Gesichtspunkt des Rechtsmissbrauchs etwas entgegengehalten werden, denn grundsÃ¤tzlich sind sowohl die Rechnungs- und WirtschaftlichkeitsprÃ¼fung als auch die Risikoselektion legitime Interessen im PrivatversicherungsgeschÃ¤ft.</w:t>
      </w:r>
    </w:p>
    <w:p>
      <w:r>
        <w:t>4.5Â Â Â Â  Ob bzw. inwieweit die Institution des Vertrauensarztes bzw. die der versicherten Person offen stehende MÃ¶glichkeit, den Leistungserbringer Âin jedem FallÂ und ohne BegrÃ¼ndung verpflichten zu kÃ¶nnen, medizinische Angaben nur dem Vertrauensarzt oder der VertrauensÃ¤rztin des Versicherers nach Artikel 57 bekanntzugeben (Art. 42 Abs. 5 KVG), ein taugliches Mittel ist, den mit der hÃ¶chstrichterlichen Rechtsprechung zu Art. 42 Abs. 3 KVG nicht zweckgebundenen Datenfluss zwischen Leistungserbringern und Versicherungsverwaltungen einzuschrÃ¤nken, wird die Rechtsprechung zu Art. 57 Abs. 7 KVG weisen mÃ¼ssen.</w:t>
      </w:r>
    </w:p>
    <w:p>
      <w:r>
        <w:t>Â Â Â Â Â Â Â Â  Denn entweder werden die Angaben im Sinne von Art 57 Abs. 7 KVG, welche notwendig sind, um die VergÃ¼tung festzusetzen, nach den gleichen Kriterien bestimmt wie die Angaben im Sinne von Art. 42 Abs. 3 und 4 KVG. Dann stehen die VertrauensÃ¤rzte und VertrauensÃ¤rztinnen bei der Auswahl der an die Kassenverwaltungen weiterzuleitenden Angaben vor dem gleichen Problem wie die Gerichte bei der Bestimmung der den Kassenverwaltungen nach Art. 42 Abs. 3 und 4 KVG legitimerweise zustehenden Informationen: Mangels konkreter Zweckbindung des Auskunftsgesuchs und objektiver Kriterien fÃ¼r die Beurteilung von ZweckmÃ¤ssigkeit und Notwendigkeit sind sie gar nicht in der Lage, eine Auswahl zu treffen, kÃ¶nnen demnach auch die PersÃ¶nlichkeitsrechte der Versicherten nicht wahren und werden damit weitgehend obsolet.</w:t>
      </w:r>
    </w:p>
    <w:p>
      <w:r>
        <w:t>Â Â Â Â Â Â Â Â  Oder aber, was die vertrauensÃ¤rztlichen Dienste an die Kassenverwaltungen weiterleiten sollen und dÃ¼rfen, wird aus RÃ¼cksicht auf die PersÃ¶nlichkeitsrechte der Versicherten auf das beschrÃ¤nkt, was die Kassenverwaltungen nach von den VertrauensÃ¤rzten und VertrauensÃ¤rztinnen anzuwendenden objektiven Kriterien benÃ¶tigen, um die VergÃ¼tung unter BerÃ¼cksichtigung von Art. 56 Abs. 2 KVG festsetzen oder Ã¼berprÃ¼fen zu kÃ¶nnen.</w:t>
      </w:r>
    </w:p>
    <w:p>
      <w:r>
        <w:t>4.6Â Â Â Â  HÃ¤lt das EidgenÃ¶ssische Versicherungsgericht an seiner mit dem RÃ¼ckweisungsentscheid im vorliegenden Fall begrÃ¼ndeten Rechtsprechung zu Art. 42 Abs. 3 KVG fest und geht die Rechtsprechung zu Art. 57 Abs. 7 KVG in die in ErwÃ¤gung 4.4 zuletzt dargestellte Richtung, bietet die RechtsausÃ¼bung der versicherten Person nach Art. 42 Abs. 5 KVG GewÃ¤hr dafÃ¼r, dass die Kassenverwaltungen lediglich jene AuskÃ¼nfte medizinischer Natur erhalten, welche sie zur Berechnung der VergÃ¼tung und zur WirtschaftlichkeitsprÃ¼fung im Rahmen des KVG effektiv benÃ¶tigen.</w:t>
      </w:r>
    </w:p>
    <w:p>
      <w:r>
        <w:t>Dann sind die Leistungserbringer aufgrund ihrer Treuepflicht aus dem Behandlungsvertrag gehalten, die Patienten auf diesen Umstand hinzuweisen sowie gegebenenfalls deren ErklÃ¤rungen im Sinne von Art. 42 Abs. 5 KVG zu ihren Akten zu nehmen. Ãber kurz oder lang kann dies - weil die Versicherten aufgrund der Rechtsprechung zu Art. 42 Abs. 3 KVG allen Grund haben, ihr Recht nach Art. 42 Abs. 5 KVG auszuÃ¼ben - dazu fÃ¼hren, dass sich die Kassenverwaltungen auch jene medizinischen AuskÃ¼nfte, welche sie zur Berechnung der VergÃ¼tung und zur WirtschaftlichkeitsprÃ¼fung im Rahmen des KVG effektiv benÃ¶tigen, in der Regel nur noch nach Art. 57 Abs. 7 KVG beschaffen kÃ¶nnen.</w:t>
      </w:r>
    </w:p>
    <w:p>
      <w:r>
        <w:t>Der von der KlÃ¤gerin erstrittene Entscheid des EidgenÃ¶ssischen Versicherungsgerichts vom 9. Oktober 2001 wÃ¼rde sich dann als Pyrrhussieg erweisen. Denn, wenn die vom Gesetzgeber fÃ¼r den Datenfluss im KVG vorgesehene Regel (direkter Datenfluss vom Leistungserbringer zur Kassenverwaltung) und deren Ausnahme (indirekter Datenfluss vom Leistungserbringer Ã¼ber den Vertrauensarzt zur Kassenverwaltung) umgekehrt werden, weil eine grosse Zahl von Versicherten wegen der fehlenden Zweckbindung des Auskunftsrechts im direkten Datenfluss vom Leistungserbringer zur Kassenverwaltung vorsorglich verlangt, dass die sie betreffenden medizinischen Angaben nur dem Vertrauensarzt oder der VertrauensÃ¤rztin bekanntgegeben werden dÃ¼rfen, zwingt dies die Krankenversicherer zu einem kostspieligen Ausbau der vertrauensÃ¤rztlichen Dienste.</w:t>
      </w:r>
    </w:p>
    <w:p>
      <w:r>
        <w:t>5.Â Â Â Â Â Â  Was die gemÃ¤ss ErwÃ¤gung 5b des RÃ¼ckweisungsentscheids im Rahmen der materiellen AnspruchsprÃ¼fung zu beurteilenden ModalitÃ¤ten der Aktenedition anbelangt, wurde bereits darauf hingewiesen, dass nach den Vorstellungen des Gesetzgebers der direkte Datenfluss vom Leistungserbringer zur Kassenverwaltung die Regel und der indirekte Ã¼ber den Vertrauensarzt die Ausnahme bildet. Dementsprechend ist der von der KlÃ¤gerin replicando zitierten (Urk. 13 Ziff. 14) Ansicht von Eugster und LuginbÃ¼hl zuzustimmen, wonach Art. 42 Abs. 3 KVG einerseits eine Offenbarungspflicht und andererseits eine OffenbarungsermÃ¤chtigung beinhaltet, weshalb vor einer auf diese Gesetzesvorschrift abgestÃ¼tzten Datenoffenbarung keine Zustimmung des Patienten einzuholen ist (Gebhard Eugster/Rudolf LuginbÃ¼hl, Datenschutz in der obligatorischen Krankenpflegeversicherung, in: Datenschutz im Gesundheitswesen, ZÃ¼rich 2001, 98 ff.). MÃ¼ssten die Versicherer in jedem Fall vorgÃ¤ngig eine Vollmacht der betroffenen Patienten einholen, liesse sich der vom Gesetzgeber vorgesehene Regel-Datenfluss in der Praxis gar nicht realisieren.</w:t>
      </w:r>
    </w:p>
    <w:p>
      <w:r>
        <w:t>Es kann somit keine Rede davon sein, dass eine Aktenedition von vornherein nur an den Vertrauensarzt der KlÃ¤gerin erfolgen kÃ¶nne (Urk. 20 Ziff. 11). Ebenso erÃ¼brigen sich ErÃ¶rterungen Ã¼ber die Tragweite der von der KlÃ¤gerin vorgelegten Vollmacht der versicherten Person (Urk. 2/2/1). Denn nachzuweisen ist nicht das EinverstÃ¤ndnis der versicherten Person mit der Herausgabe an die Kassenverwaltung, sondern - als einer der beiden gesetzlich vorgesehenen AusnahmetatbestÃ¤nde - das ausdrÃ¼ckliche Verlangen der versicherten Person, die Akten nur an den Vertrauensarzt des Versicherers herauszugeben. Liegt kein solches Begehren der versicherten Person vor, hat der Leistungserbringer die angeforderten Akten an die Kassenverwaltung herauszugeben.</w:t>
      </w:r>
    </w:p>
    <w:p>
      <w:r>
        <w:t>Was den zweiten gesetzlich vorgesehenen Ausnahmetatbestand des ÂbegrÃ¼ndeten FallesÂ fÃ¼r eine Verweigerung der Aktenedition an die Kassenverwaltung anbelangt, so ist vorliegendenfalls weder aus den Akten eine Besonderheit ersichtlich, welche unter diesen Tatbestand subsumiert werden kÃ¶nnte, noch macht der Beklagte eine solche geltend. Es ist auch nichts von dem, was der Beklagte gegen die Aktenedition vorbringt (Urk. 13 und Urk. 20), fallspezifisch, weshalb seine Vorbringen von vornherein nicht geeignet sind, einen begrÃ¼ndeten (Ausnahme)Fall im Sinne von Art. 42 Abs. 5 KVG zu statuieren (zum Begriff des ÂbegrÃ¼ndeten FallesÂ: Maurer, Das neue Krankenversicherungsgesetz, S. 78).</w:t>
      </w:r>
    </w:p>
    <w:p>
      <w:r>
        <w:t>6.Â Â Â Â Â Â  Zusammenfassend ist festzuhalten, dass das Schiedsgericht bei der Neubeurteilung des vorliegenden Falles an die dem RÃ¼ckweisungsentscheid zugrundeliegende Rechtsauffassung gebunden ist, gemÃ¤ss welcher es sich bei der Editionspflicht nach Art. 42 Abs. 3 und 4 KVG um eine unabhÃ¤ngig von Art. 56 Abs. 2 KVG bestehende, eigenstÃ¤ndige Verpflichtung handelt, deren Umfang sich nach dem bemisst, was der Schuldner fÃ¼r die Durchsetzung seiner Rechte als notwendig erachtet. Demzufolge genÃ¼gt es fÃ¼r die vollumfÃ¤ngliche Gutheissung der Klage, dass die KlÃ¤gerin eine VergÃ¼tung nach KVG geleistet hat und gemÃ¤ss ihrem Klagebegehren die vollstÃ¤ndigen Akten - wozu auch immer - benÃ¶tigt.</w:t>
      </w:r>
    </w:p>
    <w:p>
      <w:r>
        <w:t>7.Â Â Â Â Â Â  AusgangsgemÃ¤ss sind die Kosten des Verfahrens dem Beklagten aufzulegen. Da der Streitwert nach Auffassung der Parteien nicht bezifferbar ist (Urk. 2/0 = Protokoll in Proz.-Nr. SR.1999.00006, S. 3), ist die SpruchgebÃ¼hr in Anwendung von Â§ 4 Abs. 1 der Verordnung Ã¼ber die GerichtsgebÃ¼hren auf Fr. 1Â000.-- festzusetzen.</w:t>
      </w:r>
    </w:p>
    <w:p>
      <w:r>
        <w:t>Â Â Â Â Â Â Â Â  Zudem hat die obsiegende KlÃ¤gerin Anspruch auf eine ParteientschÃ¤digung, welche in Anwendung von Â§ 3 Abs. 1 der Verordnung Ã¼ber die AnwaltsgebÃ¼hren auf Fr. 2'000.-- (Honorar und Barauslagen inkl. MWSt) festzusetzen ist.</w:t>
      </w:r>
    </w:p>
    <w:p>
      <w:r>
        <w:t>Das Schiedsgericht erkennt:</w:t>
      </w:r>
    </w:p>
    <w:p>
      <w:r>
        <w:t>1.Â Â Â Â Â Â Â Â  In Gutheissung der Klage wird der Beklagte verpflichtet, die Akten betreffend die Behandlung von A.___ vom 1. Juli 1997 bis 9. Juli 1997 der KlÃ¤gerin zur Einsichtnahme herauszugeben.</w:t>
      </w:r>
    </w:p>
    <w:p>
      <w:r>
        <w:t>2.Â Â Â Â Â Â Â Â  Die Kosten des Verfahrens, bestehend aus:</w:t>
      </w:r>
    </w:p>
    <w:p>
      <w:r>
        <w:t>SpruchgebÃ¼hr:Â Â Â Â Â Â Â Â Â Â Â Â  Fr.Â Â Â Â Â Â Â  1Â000.--</w:t>
      </w:r>
    </w:p>
    <w:p>
      <w:r>
        <w:t>SchreibgebÃ¼hren:Â Â Â Â Â Â Â  Fr.Â Â Â Â Â Â Â  Â  511.--</w:t>
      </w:r>
    </w:p>
    <w:p>
      <w:r>
        <w:t>ZustellungsgebÃ¼hren:Â  Fr.Â Â Â Â Â Â Â  Â  475.--</w:t>
      </w:r>
    </w:p>
    <w:p>
      <w:r>
        <w:t>Total:Â Â Â Â Â Â Â Â Â Â Â Â Â Â Â Â Â Â Â Â Â Â Â Â Â Â  Fr.Â Â Â Â Â Â Â  1Â986.--</w:t>
      </w:r>
    </w:p>
    <w:p>
      <w:r>
        <w:t>werden dem Beklagten aufgelegt. Rechnung und Einzahlungsschein werden dem Kostenpflichtigen nach Eintritt der Rechtskraft zugestellt.</w:t>
      </w:r>
    </w:p>
    <w:p>
      <w:r>
        <w:t>3.Â Â Â Â Â Â Â Â  Der Beklagte wird verpflichtet, der KlÃ¤gerin eine ProzessentschÃ¤digung von Fr. 2'000.-- zu bezahlen.</w:t>
      </w:r>
    </w:p>
    <w:p>
      <w:r>
        <w:t>4.Â Â Â Â Â Â Â Â  Zustellung gegen Empfangsschein an:</w:t>
      </w:r>
    </w:p>
    <w:p>
      <w:r>
        <w:t>- Rechtsanwalt Dr. Ueli Kieser</w:t>
      </w:r>
    </w:p>
    <w:p>
      <w:r>
        <w:t>- Rechtsanwalt Bernhard Korolnik</w:t>
      </w:r>
    </w:p>
    <w:p>
      <w:r>
        <w:t>- Bundesamt fÃ¼r Sozialversicherung</w:t>
      </w:r>
    </w:p>
    <w:p>
      <w:r>
        <w:t>sowie an:</w:t>
      </w:r>
    </w:p>
    <w:p>
      <w:r>
        <w:t>- Gerichtskasse (nach Eintritt der Rechtskraft)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