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OH.2022.00006 vom 22. August 2023</w:t>
      </w:r>
    </w:p>
    <w:p>
      <w:r>
        <w:t>ZH Sozialversicherungsgericht, 2023-08-22, DE</w:t>
      </w:r>
    </w:p>
    <w:p>
      <w:r>
        <w:rPr>
          <w:b/>
        </w:rPr>
        <w:t xml:space="preserve">Quelle: </w:t>
      </w:r>
      <w:r>
        <w:t>https://mcp.opencaselaw.ch/entscheid/zh_sozialversicherungsgericht_OH.2022.00006</w:t>
      </w:r>
    </w:p>
    <w:p>
      <w:r>
        <w:t>FR: ZH_SOZIALVERSICHERUNGSGERICHT OH.2022.00006 du 22 août 2023</w:t>
      </w:r>
    </w:p>
    <w:p>
      <w:r>
        <w:t>IT: ZH_SOZIALVERSICHERUNGSGERICHT OH.2022.00006 del 22 agosto 2023</w:t>
      </w:r>
    </w:p>
    <w:p>
      <w:pPr>
        <w:pStyle w:val="Heading2"/>
      </w:pPr>
      <w:r>
        <w:t>Erwägungen</w:t>
      </w:r>
    </w:p>
    <w:p>
      <w:r>
        <w:rPr>
          <w:b/>
        </w:rPr>
        <w:t>E. 1.1</w:t>
      </w:r>
    </w:p>
    <w:p>
      <w:r>
        <w:t>Gemäss Art. 1 des Bundesgesetzes über die Hilfe an Opfer von Straftaten (Opfer hilfegesetz, OHG) hat jede Person, die durch eine Straftat in ihrer körperlichen, psychischen oder sexuellen Integrität unmittelbar beeinträchtigt worden ist (Opfer), Anspruch auf Unterstützung nach diesem Gesetz (Opferhilfe; Abs. 1).</w:t>
      </w:r>
    </w:p>
    <w:p>
      <w:r>
        <w:t>Der Anspruch besteht unabhängig davon (Abs. 3), ob der Täter oder die Täterin ermittelt worden ist (lit. a), sich schuldhaft verhalten hat (lit. b) oder vorsätzlich oder fahrlässig gehandelt hat (lit. c).</w:t>
      </w:r>
    </w:p>
    <w:p>
      <w:r>
        <w:rPr>
          <w:b/>
        </w:rPr>
        <w:t>E. 1.2</w:t>
      </w:r>
    </w:p>
    <w:p>
      <w:r>
        <w:t>Nach Art. 2 OHG umfasst die Opferhilfe Beratung und Soforthilfe (lit. a), länger fristige Hilfe der Beratungsstellen (lit. b), Kostenbeiträge für längerfristige Hilfe Dritter (lit. c), Entschädigung (lit. d), Genugtuung (lit. e) oder Befreiung von Ver fahrenskosten (lit. f).</w:t>
      </w:r>
    </w:p>
    <w:p>
      <w:r>
        <w:rPr>
          <w:b/>
        </w:rPr>
        <w:t>E. 1.3</w:t>
      </w:r>
    </w:p>
    <w:p>
      <w:r>
        <w:t>Nach Art. 19 OHG haben das Opfer und seine Angehörigen Anspruch auf eine Entschädigung für den erlittenen Schaden infolge Beeinträchtigung oder Tod des Opfers (Abs. 1). Der Schaden wird nach den Artikeln 45 (Schadenersatz bei Tötung) und 46 (Schadenersatz bei Körperverletzung) des Obligationenrechts (OR) festgelegt. Vorbehalten bleiben die Absätze 3 und 4 (Abs. 2). Nicht berücksichtigt werden Sachschaden sowie Schaden, welcher Leistungen der Soforthilfe oder der längerfristigen Hilfe nach Artikel 13 auslösen kann (Abs. 3). Haushaltschaden und Betreuungsschaden werden nur berücksichtigt, wenn sie zu zusätzlichen Kos ten oder zur Reduktion der Erwerbstätigkeit führen (Abs. 4).</w:t>
      </w:r>
    </w:p>
    <w:p>
      <w:r>
        <w:rPr>
          <w:b/>
        </w:rPr>
        <w:t>E. 1.4</w:t>
      </w:r>
    </w:p>
    <w:p>
      <w:r>
        <w:t>Nach Art. 46 OR gibt Körperverletzung dem Verletzten Anspruch auf Ersatz der Kosten sowie auf Entschädigung für die Nachteile gänzlicher oder teilweiser Arbeitsunfähigkeit, unter Berücksichtigung der Erschwerung des wirtschaftlichen Fortkommens (Abs. 1) .</w:t>
      </w:r>
    </w:p>
    <w:p>
      <w:r>
        <w:t>Körperverletzung i m Sinne des Schadenersatzrechts ist jede Beeintr ä chtigung der k ö rperlichen oder psychischen Integrit ä t (BSK OR I-Kessler, N. 2 zu Art.</w:t>
      </w:r>
    </w:p>
    <w:p>
      <w:r>
        <w:t>46 , Fischer/Böhme/ Gähwiler in OR-OFK, 4. Aufl., Zürich 2023, N.</w:t>
      </w:r>
    </w:p>
    <w:p>
      <w:r>
        <w:rPr>
          <w:b/>
        </w:rPr>
        <w:t>E. 1.5</w:t>
      </w:r>
    </w:p>
    <w:p>
      <w:r>
        <w:t>Ob die Opferhilfe neben den gemäss Art. 46 OR zu entschädigenden Personen schäden auch sogenannte reine Vermögensschäden, die nicht unmittelbar im Zusammenhang mit der Verletzung der physischen oder psychischen Integrität stehen, übernehmen soll, hat das Bundesgericht unter Anwendung des alten Opferhilfegesetzes, welches bis am 31. Dezember 2008 in Kraft war, offengelassen (vgl. Urteile des Bundesgerichts 1A.163/2000 vom 8. November 2000 E. 2.d sowie 1A.168/2002 vom 4. Januar 2003 E. 2.5.1 ; Gomm /Zehntner, SHK- Opferhilfe - recht, 4. Aufl., Bern 2020, N.</w:t>
      </w:r>
    </w:p>
    <w:p>
      <w:r>
        <w:rPr>
          <w:b/>
        </w:rPr>
        <w:t>E. 3</w:t>
      </w:r>
    </w:p>
    <w:p>
      <w:r>
        <w:t>. Februar 2014 reichte die Rechtsvertreterin von X.___</w:t>
      </w:r>
    </w:p>
    <w:p>
      <w:r>
        <w:t>beim Kanton Zürich, Kantonale Opferhilfestelle (im Folgenden: Opferhilfestelle), zur Fristwahrung ein vorsorgliches Gesuch um Entschädigung und Genugtuung ein (Urk. 11/1/ 2 ), worauf das Opferhilfeverfahren mit Verfügung vom 27. Februar 2014 antragsge mäss bis auf Weiteres sistiert wurde (Urk. 11/3).</w:t>
      </w:r>
    </w:p>
    <w:p>
      <w:r>
        <w:rPr>
          <w:b/>
        </w:rPr>
        <w:t>E. 3.1</w:t>
      </w:r>
    </w:p>
    <w:p>
      <w:r>
        <w:t>Unbestrittener w eise wurde die Beschwerdeführerin Opfer einer Straftat, welche zu Recht als qualifizierte Entführung im Sinne von Art. 183 Ziff. 2 des Strafge setzbuches (StGB) eingeordnet wurde. Geschütztes Rechtsgut ist hier die körper liche Bewegungsfreiheit des Kindes (BGE 141 IV 10 E. 4.5.4-6). Dabei handelt es sich um ein Dauerdelikt (BGE 141 IV 205 E. 6.3).</w:t>
      </w:r>
    </w:p>
    <w:p>
      <w:r>
        <w:t>Umstritten ist unter den Parteien, ob ein Erwerbsschaden infolge Beeinträchti gung der körperlichen Bewegungsfreiheit Anspruch auf eine Entschädigung im Sinne von Art. 19 ff. OHG begründen kann.</w:t>
      </w:r>
    </w:p>
    <w:p>
      <w:r>
        <w:rPr>
          <w:b/>
        </w:rPr>
        <w:t>E. 3.2</w:t>
      </w:r>
    </w:p>
    <w:p>
      <w:r>
        <w:t>Die Expertenkommission für die Revision des OHG erliess am 25. Juni 2002 ihren erläuternden Bericht. Dabei hielt sie fest, es werde gegenüber dem geltenden Recht eine Klärung der für die Entschädigung massgeblichen Schadensarten vor genommen. Bis</w:t>
      </w:r>
    </w:p>
    <w:p>
      <w:r>
        <w:t>anhin sei der Wortlaut des Gesetzes bezüglich der Möglichkeit einer Entschädigung</w:t>
      </w:r>
    </w:p>
    <w:p>
      <w:r>
        <w:t>von Sachschäden und reinen Vermögensschäden nicht rest los klar gewesen . Mit der</w:t>
      </w:r>
    </w:p>
    <w:p>
      <w:r>
        <w:t>vorgeschlagenen Bestimmung werde an den Schadens begriff der Artikel 45 und</w:t>
      </w:r>
    </w:p>
    <w:p>
      <w:r>
        <w:t>46 OR angeknüpft. Damit sei die Kohärenz des Scha densbegriffs</w:t>
      </w:r>
    </w:p>
    <w:p>
      <w:r>
        <w:t>mit dem Privatrecht gewährleistet. Gleichzeitig w erde mit der Bezugnahme</w:t>
      </w:r>
    </w:p>
    <w:p>
      <w:r>
        <w:t>auf die erwähnten Bestimmungen klargestellt, dass nur Personen schäden,</w:t>
      </w:r>
    </w:p>
    <w:p>
      <w:r>
        <w:t>nicht aber Sach- und reine Vermögensschäden entschädigt w ü rden. Dadurch</w:t>
      </w:r>
    </w:p>
    <w:p>
      <w:r>
        <w:t>soll t en Ungleichbehandlungen vermieden werden: Eine Person, der etwas gestohlen</w:t>
      </w:r>
    </w:p>
    <w:p>
      <w:r>
        <w:t>w e rd e , soll e für den Wert des gestohlenen Gutes nicht deshalb eine Entschädigung</w:t>
      </w:r>
    </w:p>
    <w:p>
      <w:r>
        <w:t>erhalten, weil sie bei dem Diebstahl auch verletzt w orden sei, während bei einem</w:t>
      </w:r>
    </w:p>
    <w:p>
      <w:r>
        <w:t>Diebstahl ohne Verletzungsfolge das OHG nicht anwendbar sei. Die Kommission habe auch geprüft, ob die Schadensarten, für die eine Ent schädigung nach OHG möglich sein sollten, allenfalls im Gesetz einzeln aufgelis tet werden könnten. Dieser Ansatz sei jedoch fallen gelassen worden, um Ausle gungsprobleme gegenüber den privatrechtlichen Regeln zu vermeiden und der Rechtsentwicklung grösseren Spielraum zu lassen (S. 35). 3. 3</w:t>
      </w:r>
    </w:p>
    <w:p>
      <w:r>
        <w:t>In der Botschaft zur Totalrevision des OHG vom 9. November 2005 ( BBl 2005 7165 ) wurde festgehalten, für die Bestimmung des Schadens seien grundsätzlich</w:t>
      </w:r>
    </w:p>
    <w:p>
      <w:r>
        <w:t>die Prinzipien des Haftpflichtrechts anwendbar. Gewisse Schadensposten w ü rden</w:t>
      </w:r>
    </w:p>
    <w:p>
      <w:r>
        <w:t>aber ausgeschlossen. Es hand le sich einerseits um Schadensposten, deren</w:t>
      </w:r>
    </w:p>
    <w:p>
      <w:r>
        <w:t>Ent schädigung über die Ziele der Opferhilfe hinausgehen würde, und andererseits</w:t>
      </w:r>
    </w:p>
    <w:p>
      <w:r>
        <w:t>um solche, die vom Gesetz auf andere Weise berücksichtigt w ü rden.</w:t>
      </w:r>
    </w:p>
    <w:p>
      <w:r>
        <w:t>Absatz 1 von Art. 19 OHG leg e fest, wer Anspruch auf Entschädigung ha be . Die folgenden Absätze bestimmten, welche Schadensposten bei einer opferhilferechtlichen Ent schädigung berücksichtigt würden. Absatz 2 halte fest, dass für die Bestimmung der anrechenbaren Schadensposten grundsätzlich das Zivilrecht massgebend sei. Das in seiner Integrität beeinträchtigte Opfer habe demnach Anspruch auf eine opferhilferechtliche Entschädigung an Kosten, die infolge der Beeinträchtigung entstanden seien, sowie für Nachteile gänzlicher oder teilweiser Arbeitsunfähig keit, unter Berücksichtigung der Erschwerung des wirtschaftlichen Fortkommens ( Art. 46 OR; S. 7216 Ziff. 2.3.1). 3. 4</w:t>
      </w:r>
    </w:p>
    <w:p>
      <w:r>
        <w:t>Gemäss Art. 19 Abs. 2 OHG wird der Schaden – unter Vorbehalt der hier nicht interessierenden Abs. 3 und 4 derselben Bestimmung –</w:t>
      </w:r>
    </w:p>
    <w:p>
      <w:r>
        <w:t>nach den Artikeln 45 OR (Schadenersatz bei Tötung) und 46 OR (Schadenersatz bei Körperverletzung) fest gelegt. Diese Formulierung im Gesetz ist eindeutig : Es sollen diejenigen Scha densposten ersetzt werden, welche unter Art. 45 und 46 OR subsumiert werden können. Dass der Gesetzgeber die entschädigungsberechtigten Positionen am Per sonenschaden gemäss OR ausrichten wollte, ergibt sich denn auch klar aus den oben wiedergegebenen Materialien: Die Absätze 2 bis 4 bestimmen, welche Scha densposten bei einer opferhilferechtlichen Entschädigung berücksichtigt werden. Mit Absatz 2 wurde an den Schadensbegriff der Artikel 45 und 46 OR angeknüpft und damit klargestellt, dass nur Personenschäden, nicht aber reine Vermögens schäden entschädigt werden.</w:t>
      </w:r>
    </w:p>
    <w:p>
      <w:r>
        <w:t>Zwar trifft zu , dass die Art. 45 und 46 OR bei ihrer direkten Anwendung innerhalb des Privatrecht s keine Haftungsbeschränkung bezwecken , gilt dort doch der Grundsatz der Totalreparation sämtlicher Schadensposten (Kessler, a.a.O., N. 1 zu Art. 46 ). Dass dieser Grundsatz im OHG nicht gilt, zeigt sich mit dem Beschwer degegner (Urk. 2 S. 5 unten E. 2.4) indes bereits an der gesetzlich festgelegten Obergrenze von Fr. 120'000.-- (Art. 20 Abs. 3 OHG) sowie der Abhängigkeit der Höhe der Entschädigung von den Einnahmen des Opfers (Art. 20 Abs. 2 OHG).</w:t>
      </w:r>
    </w:p>
    <w:p>
      <w:r>
        <w:t>Im Anwendungsbereich des Opferhilferechts bezweckt d er Verweis auf Art. 45 und 46 OR somit klarerweise eine Haftungsbeschränkung. Entgegen der Beschwerdeführerin (E. 2.2) gelten daher die in Art. 46 OR erwähnten Schadens positionen für das Opfer einer Straftat abschliessend. 3. 5</w:t>
      </w:r>
    </w:p>
    <w:p>
      <w:r>
        <w:t>Der Beschwerdeführerin ist dahingehend zuzustimmen (E. 2.2), dass das OHG grundsätzlich jeder Person Unterstützung gewährt, die durch eine Straftat in ihrer körperlichen, psychischen oder sexuellen Integrität beeinträchtigt worden ist (Art. 1 Abs. 1 OHG, vgl. E. 1.1), den Begriff der «Körperverletzung» mithin nicht verwendet. Dies ändert indes nichts daran, dass der Gesetzgeber durch den Ver weis auf Art. 46 OR klargestellt hat, dass Unterstützung in Form einer Entschä digung nach Art. 19 Abs. 1 O HG nur bei «Körperverletzung» gewährt wird. Indem sich die Körperverletzung wiederum auch im Privatrecht als Beeinträchtigung der körperlichen oder psychischen Integrität definiert (E. 1.4), ist auf rein sprachlicher Ebene zunächst kein Unterschied auszumachen. Im Gesetz (Art. 46 OR) wird jedoch nur der Begriff der Körperverletzung verwendet und es verbietet sich, die sen derart weit auszulegen, wie dies die Beschwerdeführerin gerne täte . Der Gesetzestext eröffnet diesbezüglich keinen weiteren Auslegungsspielraum. Daher</w:t>
      </w:r>
    </w:p>
    <w:p>
      <w:r>
        <w:t>ist nicht nachvollziehbar, weshalb bereits eine Beeinträchtigung der Bewegungs freiheit als Körperverletzung im Sinne von Art. 46 OR qualifiziert werden sollte. Entsprechende Hinweise finden sich weder in Literatur und Rechtsprechung noch werden sie von der Beschwerdeführerin eingebracht.</w:t>
      </w:r>
    </w:p>
    <w:p>
      <w:r>
        <w:t>Daraus etwa, dass die Bewegungsfreiheit gemäss einer Lehrmeinung zu einem anderen Artikel des Zivilrechts (Art. 28 ZGB) zur körperlichen Unversehrtheit gehöre (vgl. Urk. 1 S. 8 oben Ziff. 16) , lässt sich vorliegend nichts ableiten. Dies umso weniger, als Art. 28 ZGB Persönlichkeitsverletzungen regelt, wobei der ent sprechende Schadenersatz nach Art. 49 OR – und eben nicht nach Art. 45 bezie hungsweise 46 OR</w:t>
      </w:r>
    </w:p>
    <w:p>
      <w:r>
        <w:t>– berechnet wird.</w:t>
      </w:r>
    </w:p>
    <w:p>
      <w:r>
        <w:t>Entsprechend finden sich auch in der in der Literatur zu Art. 46 OR wiedergege benen Kasuistik lediglich Beispiele, in welchen Gesundheitsbeeinträchtigungen zur Erschwerung des wirtschaftlichen Fortkommens führte n (vgl. E. 1.4). Die Rechtsauffassung de s Beschwerdegegners ist mithin zutreffend, dass ein von Art. 46 OR erfasster Erschwerungsschaden eine gesundheitliche Störung voraus setzt, welche zu einem finanziellen Nachteil bei der Geschädigten führt (E. 2.1).</w:t>
      </w:r>
    </w:p>
    <w:p>
      <w:r>
        <w:t>So wird denn auch die körperliche und psychische Integritätsschädigung im Sinne von Art. 1 OHG als Gesundheitsschädigung verstanden . Mit der körperlichen und psychischen Integrität im Sinne von Art. 1 OHG ist der körperliche und seelische Zustand des Opfers vor der Straftat gemeint ( Gomm /Zehntner, a.a.O.,</w:t>
      </w:r>
    </w:p>
    <w:p>
      <w:r>
        <w:t>N. 31 zu Art. 1). 3. 6</w:t>
      </w:r>
    </w:p>
    <w:p>
      <w:r>
        <w:t>Eine Gesundheitsschädigung macht die Beschwerdeführerin aber gerade nicht geltend. Vielmehr beschreibt sie mit dem angegebenen Bildungsrückstand einen wirtschaftlichen Schaden, welcher direkt durch die Straftat der Entführung bewirkt wurde und nicht durch eine Körperverletzung im Sinne von Art. 46 OR. Ob es sich dabei um einen sogenannten «reinen Vermögensschaden» handelt, mag dogmatisch interessant sein, braucht aber vorliegend nicht geklärt zu werden. Denn auch die Argumentation, die Straftat habe nicht direkt zum Vermögens schaden geführt, sondern zunächst zu einer verpönten Einschränkung der Bewe gungsfreiheit, weshalb es sich nicht um einen «reinen Vermögensschaden» handle, hülfe der Beschwerdeführerin nicht. Entscheidend ist, dass eine solche Einschränkung vom Begriff der Körperverletzung im Sinne von Art. 46 OR klarer Weise nicht erfasst ist und deshalb keinen Anspruch auf eine Entschädigung im Sinne von Art. 19 ff. OHG vermittelt (vgl. E. 3. 5 ). 3. 7</w:t>
      </w:r>
    </w:p>
    <w:p>
      <w:r>
        <w:t>Die Verfügung de s Beschwerdegegners vom 3. Oktober 2022 (Urk. 2) erweist sich somit insoweit, als sie zu beurteilen war (vgl. E. 2.3), als rechtens.</w:t>
      </w:r>
    </w:p>
    <w:p>
      <w:r>
        <w:t>Dies führt zur Abweisung der Beschwerde. 4 .</w:t>
      </w:r>
    </w:p>
    <w:p>
      <w:r>
        <w:t>4 .1</w:t>
      </w:r>
    </w:p>
    <w:p>
      <w:r>
        <w:t>Die Voraussetzungen zur Bestellung einer unentgeltlichen Rechtsvertretung gemäss § 16 Abs. 1 und Abs. 2 des Gesetzes über das Sozialversicherungsgericht (GSVGer) sind erfüllt (vgl. Urk. 3/35-36 sowie Urk. 12-13), weshalb Rechtsanwäl tin Nicole Zürcher Fausch , St. Gallen , antragsgemäss (Urk. 1) als unentgeltliche Rechtsvertreterin der Beschwerdeführerin zu bestellen ist. 4 .2</w:t>
      </w:r>
    </w:p>
    <w:p>
      <w:r>
        <w:t>Gemäss § 7 Abs. 1 der Verordnung über die Gebühren, Kosten und Ent schä di gungen vor dem Sozialversicherungsgericht ( GebV SVGer) wird für un nötigen Aufwand kein Ersatz gewährt. Dies gilt auch im Bereich der unentgelt lichen Rechtsvertretung (§ 8 GebV SVGer). 4 .3</w:t>
      </w:r>
    </w:p>
    <w:p>
      <w:r>
        <w:t>Die unentgeltliche Rechtsvertreterin der Beschwerdeführerin machte mit Hono rar note vom 16. Januar 2023 (Urk. 17) einen Aufwand von 16.49 Stunden sowie Baraus lagen von Fr. 76.90 geltend. Dies erscheint als überhöht. So sind 14.08 Stunden für das Verfassen der 19-seitigen Beschwerdeschrift (Urk. 1) nicht ange messen, nachdem diese sowohl betreffend Inhalt als auch Wortlaut stark an das ursprüngliche, 38-seitige Gesuch vom 15. August 2022 im Verwaltungsverfahren (Urk. 11/13) angelehnt ist und Rechtsanwältin Zürcher Fausch für dessen Erar beitung bereits im Verwaltungsverfahren einen Aufwand von 21.07 Stunden gel tend gemacht (Urk. 11/16) und voll vergütet erhalten hatte (Urk. 2). Angemessen erscheint für die Erarbeitung der Beschwerdeschrift ein Aufwand von 6 Stunden.</w:t>
      </w:r>
    </w:p>
    <w:p>
      <w:r>
        <w:t>Die Kürzung beträgt somit 8.08 Stunden. Sie ist vom insgesamt geltend gemach ten Zeitaufwand von 16.49 Stunden in Abzug zu bringen, womit ein zu vergü tender Zeitaufwand von 8.41 Stunden verbleibt.</w:t>
      </w:r>
    </w:p>
    <w:p>
      <w:r>
        <w:t>Bei Anwendung des gerichtsüblichen Stundenansatzes von Fr. 220.-- (zuzüglich Mehrwertsteuer) ist die Entschädigung somit auf rund Fr. 2'100.-- (inklusive gel tend gemachte Baraus lagen von Fr. 76.90 und Mehrwertsteuer) festzusetzen. Die Beschwerdeführerin ist auf die Nachzahlungspflicht gemäss § 16 Abs. 4 GSVGer hinzuweisen. Das Gericht beschliesst: In Bewilligung des Gesuchs vom 2. November 2022 wird der Beschwerdeführerin Rechts anwältin Nicole Zürcher Fausch , St. Gallen, als unentgeltliche Rechtsvertreterin für das vorliegende Ver fahren bestellt , und erkennt:</w:t>
      </w:r>
    </w:p>
    <w:p>
      <w:r>
        <w:rPr>
          <w:b/>
        </w:rPr>
        <w:t>E. 6</w:t>
      </w:r>
    </w:p>
    <w:p>
      <w:r>
        <w:t>zu Art. 46).</w:t>
      </w:r>
    </w:p>
    <w:p>
      <w:r>
        <w:t>Unter einer Erschwerung des wirtschaftlichen Fortkommens ist die Beeinträchti gung des Verletzten auf dem Arbeitsmarkt oder in der wirtschaftlichen Konkur renz über die Nachteile der Arbeitsunfähigkeit hinaus zu verstehen. Gemeint sind Beeintr ä chtigungen der Arbeits-, Aufstiegs- und Verdienstchancen, die sich etwa aus Konzentrations-, Ged ä chtnis- oder Sprachst ö rungen sowie aus kosmetischen Beeintr ä chtigungen (z um Beispiel einem entstellten Gesicht) ergeben können . Die Benachteiligung kann sich z um Beispiel folgendermassen konkretisieren: Gr ö ssere Schwierigkeiten als eine gesunde Person, eine Stelle mit gleichem Lohn zu finden und zu behalten; gr ö sseres Risiko einer Stellenlosigkeit; geringere Aus sichten auf eine Beförderung; frühere Aufgabe der Erwerbstätigkeit aufgrund grösserer Anstrengung, um das Lohnniveau halten zu können, oder wegen des Verlusts eines paarigen Organs und der damit einhergehenden Risiken; Beein trächtigung der Heiratsmöglichkeit . Die Beeinträchtigung des wirtschaftlichen Fortkommens ist in der Regel mit einer Arbeitsunf ä higkeit verbunden, setzt sie aber nicht notwendigerweise voraus ( Kessler, a.a.O., N.</w:t>
      </w:r>
    </w:p>
    <w:p>
      <w:r>
        <w:rPr>
          <w:b/>
        </w:rPr>
        <w:t>E. 10</w:t>
      </w:r>
    </w:p>
    <w:p>
      <w:r>
        <w:t>zu Art. 46 mit Hinwei sen auf die Rechtsprechung des Bundesgerichts).</w:t>
      </w:r>
    </w:p>
    <w:p>
      <w:r>
        <w:rPr>
          <w:b/>
        </w:rPr>
        <w:t>E. 15</w:t>
      </w:r>
    </w:p>
    <w:p>
      <w:r>
        <w:t>' 0 00.-- ist diese somit in Teilrechtskraft erwachsen. Der Streitgegenstand beschränkt sich vorliegend auf die strittige und zu prüfende Frage, ob die Beschwerdeführerin infolge Erschwerung ihres beruflichen Fortkommens Anspruch auf eine Entschädigung im Sinne von Art. 19 ff. OHG hat.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