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OH.2017.00006 vom 3. Mai 2019</w:t>
      </w:r>
    </w:p>
    <w:p>
      <w:r>
        <w:t>ZH Sozialversicherungsgericht, 2019-05-03, DE</w:t>
      </w:r>
    </w:p>
    <w:p>
      <w:r>
        <w:rPr>
          <w:b/>
        </w:rPr>
        <w:t xml:space="preserve">Quelle: </w:t>
      </w:r>
      <w:r>
        <w:t>https://mcp.opencaselaw.ch/entscheid/zh_sozialversicherungsgericht_OH.2017.00006</w:t>
      </w:r>
    </w:p>
    <w:p>
      <w:r>
        <w:t>FR: ZH_SOZIALVERSICHERUNGSGERICHT OH.2017.00006 du 3 mai 2019</w:t>
      </w:r>
    </w:p>
    <w:p>
      <w:r>
        <w:t>IT: ZH_SOZIALVERSICHERUNGSGERICHT OH.2017.00006 del 3 maggio 2019</w:t>
      </w:r>
    </w:p>
    <w:p>
      <w:pPr>
        <w:pStyle w:val="Heading2"/>
      </w:pPr>
      <w:r>
        <w:t>Erwägungen</w:t>
      </w:r>
    </w:p>
    <w:p>
      <w:r>
        <w:rPr>
          <w:b/>
        </w:rPr>
        <w:t>E. 1.1</w:t>
      </w:r>
    </w:p>
    <w:p>
      <w:r>
        <w:t>Hilfe nach dem Bundesgesetz über die Hilfe an Opfer von Straftaten ( OHG ) erhält jede Person, die durch eine Straftat in ihrer körperlichen, sexuellen oder psychi schen Integrität unmittelbar beeinträchtigt worden ist (Opfer), und zwar unab hängig davon, ob der Täter oder die Täterin ermittelt worden ist, ob sie vorsätzlich oder fahrlässig gehandelt oder ob sie sich schuldhaft verhalten haben ( Art. 1 Abs. 1 und 3 OHG). Dem Opfer werden gemäss Art. 1 Abs. 2 OHG dessen Ehegatte oder Ehegattin, dessen Kinder und Eltern sowie andere Personen, die ihm in ähnlicher Weise nahestehen (Angehörige), gleichgestellt.</w:t>
      </w:r>
    </w:p>
    <w:p>
      <w:r>
        <w:rPr>
          <w:b/>
        </w:rPr>
        <w:t>E. 1.2</w:t>
      </w:r>
    </w:p>
    <w:p>
      <w:r>
        <w:t>Die Beratungsstellen leisten dem Opfer und seinen Angehörigen nebst Soforthilfe soweit nötig zusätzliche Hilfe, bis sich der gesundheitliche Zustand der betroffe nen Person stabilisiert hat und bis die übrigen Folgen der Straftat möglichst beseitigt oder ausgeglichen sind (längerfristige Hilfe) , und unterstützen sie bei der Wahrnehmung ihrer Rechte (Art. 12 Abs. 1 OHG). Gemäss Art. 14 Abs. 1 Satz 1 OHG umfasst die Opferhilfe unter anderem die angemessene juristische Hilfe in der Schweiz, die als Folge der Straftat notwendig geworden ist.</w:t>
      </w:r>
    </w:p>
    <w:p>
      <w:r>
        <w:rPr>
          <w:b/>
        </w:rPr>
        <w:t>E. 1.3</w:t>
      </w:r>
    </w:p>
    <w:p>
      <w:r>
        <w:t>Nach Art. 19 Abs. 1 OHG haben das Opfer und seine Angehörigen Anspruch auf eine Entschädigung für den erlittenen Schaden infolge Beeinträchtigung oder Tod des Opfers.</w:t>
      </w:r>
    </w:p>
    <w:p>
      <w:r>
        <w:t>Der Schaden wird nach Art. 45 (Schadenersatz bei Tötung) und Art. 46 (Schadenersatz bei Körperverletzung) des Obligationenrechts (OR) festgelegt. Vor behalten bleiben Abs . 3 und 4 (Art. 19 Abs. 2 OHG). 1.</w:t>
      </w:r>
    </w:p>
    <w:p>
      <w:r>
        <w:rPr>
          <w:b/>
        </w:rPr>
        <w:t>E. 2</w:t>
      </w:r>
    </w:p>
    <w:p>
      <w:r>
        <w:t>Es sei Ziff. IV der angefochtenen Verfügung aufzuheben und die Beschwerdegegnerin zu verpflichten, dem Beschwerdeführer eine den Betrag von Fr. 3'000. übersteigende Genugtuung auszu rich ten.</w:t>
      </w:r>
    </w:p>
    <w:p>
      <w:r>
        <w:rPr>
          <w:b/>
        </w:rPr>
        <w:t>E. 3</w:t>
      </w:r>
    </w:p>
    <w:p>
      <w:r>
        <w:t>Eventualiter seien die Ziffern I bis IV der angefochtenen Ver fü gung aufzuheben und die Beschwerdegegnerin anzuweisen, das Verfahren bis auf Weiteres zu sistieren.</w:t>
      </w:r>
    </w:p>
    <w:p>
      <w:r>
        <w:rPr>
          <w:b/>
        </w:rPr>
        <w:t>E. 4</w:t>
      </w:r>
    </w:p>
    <w:p>
      <w:r>
        <w:t>Das Opfer und seine Angehörigen haben Anspruch auf eine Genugtuung, wenn die Schwere der Beeinträchtigung es rechtfertigt; Art. 47 und 49 OR sind sinnge mäss anwendbar (Art. 22 OHG).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