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OH.2016.00009 vom 28. September 2017</w:t>
      </w:r>
    </w:p>
    <w:p>
      <w:r>
        <w:t>ZH Sozialversicherungsgericht, 2017-09-28, DE</w:t>
      </w:r>
    </w:p>
    <w:p>
      <w:r>
        <w:rPr>
          <w:b/>
        </w:rPr>
        <w:t xml:space="preserve">Quelle: </w:t>
      </w:r>
      <w:r>
        <w:t>https://mcp.opencaselaw.ch/entscheid/zh_sozialversicherungsgericht_OH.2016.00009</w:t>
      </w:r>
    </w:p>
    <w:p>
      <w:r>
        <w:t>FR: ZH_SOZIALVERSICHERUNGSGERICHT OH.2016.00009 du 28 septembre 2017</w:t>
      </w:r>
    </w:p>
    <w:p>
      <w:r>
        <w:t>IT: ZH_SOZIALVERSICHERUNGSGERICHT OH.2016.00009 del 28 settembre 2017</w:t>
      </w:r>
    </w:p>
    <w:p>
      <w:pPr>
        <w:pStyle w:val="Heading2"/>
      </w:pPr>
      <w:r>
        <w:t>Erwägungen</w:t>
      </w:r>
    </w:p>
    <w:p>
      <w:r>
        <w:rPr>
          <w:b/>
        </w:rPr>
        <w:t>E. 1</w:t>
      </w:r>
    </w:p>
    <w:p>
      <w:r>
        <w:t>1. August 2015 (Urk. 7/1/2 ) wurde der Täter der einfachen Körperverletzung mit einem gefährlichen Gegenstand im Sinne von Art. 123 Ziff.</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Da vorliegend Ansprü che für eine am 8. August 2015 verübte Straftat im Streite stehen , gelangen vorliegend die mate riellen Vorschriften des am 1. Janu ar 2009 in Kraft getretenen totalre vi dierten Bundesgesetzes über die Hilfe an Opfer von Straftaten (OHG) zur Anwendung (vgl. Art. 48 OHG ) .</w:t>
      </w:r>
    </w:p>
    <w:p>
      <w:r>
        <w:rPr>
          <w:b/>
        </w:rPr>
        <w:t>E. 1.3</w:t>
      </w:r>
    </w:p>
    <w:p>
      <w:r>
        <w:t>Hilfe nach dem OHG er hält jede Person, die durch eine Straftat in ihrer körperli chen, sexuellen oder psychischen Integrität unmittelbar beeinträchtigt worden ist</w:t>
      </w:r>
    </w:p>
    <w:p>
      <w:r>
        <w:t>(Opfer), und zwar unabhängig davon, ob der Täter oder die Täterin ermittelt wor den ist, ob sie vorsätzlich oder fahrlässig gehandelt oder ob sie sich schuld haft ver halten haben (Art. 1 Abs. 1 und 3 OHG). Dem Opfer werden gemäss Art. 1 Abs. 2</w:t>
      </w:r>
    </w:p>
    <w:p>
      <w:r>
        <w:t>OHG dessen Ehegatte oder Ehegattin, dessen Kinder und Eltern so wie an de re Personen, die ihm in ähnlicher Weise nahe stehen (Angehörige), gleich ge stellt.</w:t>
      </w:r>
    </w:p>
    <w:p>
      <w:r>
        <w:rPr>
          <w:b/>
        </w:rPr>
        <w:t>E. 1.4</w:t>
      </w:r>
    </w:p>
    <w:p>
      <w:r>
        <w:t>Im Rahmen der Revision des Opferhilfegesetzes bildete die Genugtuung einen der zentralen Punkte. Gemäss der Gesetzesbotschaft des Bundesrates kommt der Genugtuung eine wichtige symbolische Rolle zu, denn mit ihr anerkenne das Gemeinwesen die schwierige Situation des Opfers (Botschaft vom 9. November 2005 zur Totalrevision des Opferhilfegesetzes, BBl 2005 7223 Ziff. 2.3.2). Dem entsprechend hat das Opfer auch nach dem revidierten, am</w:t>
      </w:r>
    </w:p>
    <w:p>
      <w:r>
        <w:rPr>
          <w:b/>
        </w:rPr>
        <w:t>E. 2</w:t>
      </w:r>
    </w:p>
    <w:p>
      <w:r>
        <w:t>Abs. 1 des Strafgesetzbuches (StGB) ,</w:t>
      </w:r>
    </w:p>
    <w:p>
      <w:r>
        <w:t>begangen zum Nach teil des Geschädigten ,</w:t>
      </w:r>
    </w:p>
    <w:p>
      <w:r>
        <w:t>sowie des Raufhandels im Sinne von Art. 133 StGB</w:t>
      </w:r>
    </w:p>
    <w:p>
      <w:r>
        <w:t>schuldig gespro chen und zu einer Freiheitsstrafe von 180 Tagen verurteilt.</w:t>
      </w:r>
    </w:p>
    <w:p>
      <w:r>
        <w:rPr>
          <w:b/>
        </w:rPr>
        <w:t>E. 3</w:t>
      </w:r>
    </w:p>
    <w:p>
      <w:r>
        <w:t>‘000.-- für die Folgen der Straftat vom 8. August 2015 zuzusprechen.</w:t>
      </w:r>
    </w:p>
    <w:p>
      <w:r>
        <w:t>Mit Eingabe vom 4. Oktober 2016 (Urk.</w:t>
      </w:r>
    </w:p>
    <w:p>
      <w:r>
        <w:rPr>
          <w:b/>
        </w:rPr>
        <w:t>E. 6</w:t>
      </w:r>
    </w:p>
    <w:p>
      <w:r>
        <w:t>) beantragte die Kantonale O pfer hilfe stelle die Abweisung der Beschwerde . Dies wurde dem Beschwerdeführer am 1 9. Oktober 2016 zur Kenntnis gebracht (Urk.</w:t>
      </w:r>
    </w:p>
    <w:p>
      <w:r>
        <w:rPr>
          <w:b/>
        </w:rPr>
        <w:t>E. 8</w:t>
      </w:r>
    </w:p>
    <w:p>
      <w:r>
        <w:t>). Die Einzelrichter 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