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OH.2012.00008 vom 16. Mai 2014</w:t>
      </w:r>
    </w:p>
    <w:p>
      <w:r>
        <w:t>ZH Sozialversicherungsgericht, 2014-05-16, DE</w:t>
      </w:r>
    </w:p>
    <w:p>
      <w:r>
        <w:rPr>
          <w:b/>
        </w:rPr>
        <w:t xml:space="preserve">Quelle: </w:t>
      </w:r>
      <w:r>
        <w:t>https://mcp.opencaselaw.ch/entscheid/zh_sozialversicherungsgericht_OH.2012.00008</w:t>
      </w:r>
    </w:p>
    <w:p>
      <w:r>
        <w:t>FR: ZH_SOZIALVERSICHERUNGSGERICHT OH.2012.00008 du 16 mai 2014</w:t>
      </w:r>
    </w:p>
    <w:p>
      <w:r>
        <w:t>IT: ZH_SOZIALVERSICHERUNGSGERICHT OH.2012.00008 del 16 maggio 2014</w:t>
      </w:r>
    </w:p>
    <w:p>
      <w:pPr>
        <w:pStyle w:val="Heading2"/>
      </w:pPr>
      <w:r>
        <w:t>Erwägungen</w:t>
      </w:r>
    </w:p>
    <w:p>
      <w:r>
        <w:rPr>
          <w:b/>
        </w:rPr>
        <w:t>E. 1.1</w:t>
      </w:r>
    </w:p>
    <w:p>
      <w:r>
        <w:t>Nach Art. 1 Abs. 1 des Bundesgesetzes über die Hilfe an Opfer von Straftaten (OHG) vom 2 3. März 2007 hat jede Person, die durch eine Straftat in ihrer kör perlichen, psychischen oder sexuellen Integrität unmittelbar beeinträchtigt wor den ist (Opfer), Anspruch auf Unterstützung nach diesem Gesetz (Opferhilfe).</w:t>
      </w:r>
    </w:p>
    <w:p>
      <w:r>
        <w:rPr>
          <w:b/>
        </w:rPr>
        <w:t>E. 1.2</w:t>
      </w:r>
    </w:p>
    <w:p>
      <w:r>
        <w:t>Das Vorliegen einer Straftat ist auch im revidierten Gesetz unabdingbare Voraus setzung für die Anerkennung der Opferqualität einer durch ein Ereignis geschädigten Person. Ohne Straftat gibt es kein Opfer im Sinne des Gesetzes ( Zehntner , in: Kommentar zum Opferhilfegesetz, 3. Aufl., 2009, N 3 zu Art. 1 OHG). Nach der Rechtsprechung ist der Begriff der Straftat im Opferhilferecht grundsätzlich gleich wie im Strafgesetzbuch definiert. Man versteht darunter ein tatbestandsmässiges und rechtswidriges Verhalten; eine schuldhafte Tatbe ge hung wird indessen nur vom Strafrecht verlangt und spielt im Opferhilferecht als täterbezogenes Kriterium bei der Bestimmung der Opferqualität keine Rolle ( BGE 134 II 33 E. 5 . 4, 122 II 211 E. 3b). Eine Körperverletzung oder Tötung genügt indes für die Begründung der Opferstellung nicht. Diese Taten müssen entweder vorsätzlich oder zumindest fahrlässig begangen worden sein ( Art. 1 Abs.</w:t>
      </w:r>
    </w:p>
    <w:p>
      <w:r>
        <w:rPr>
          <w:b/>
        </w:rPr>
        <w:t>E. 3</w:t>
      </w:r>
    </w:p>
    <w:p>
      <w:r>
        <w:t>). Ein beim Beschuldigten durchgeführter Alkoholtest ergab einen Wert von 2.43 Promille (S. 2).</w:t>
      </w:r>
    </w:p>
    <w:p>
      <w:r>
        <w:t>Der Beschuldigte wurde am 4. August 2011 polizeilich einvernommen ( Urk. 8/6/1 , Einvernahme zur Sache als Beschuldigter S. 1 ff.). A uf die Frage, wie viel Alkohol er getrunken habe, gab der Beschuldigte</w:t>
      </w:r>
    </w:p>
    <w:p>
      <w:r>
        <w:t>an, genug. E r sei seit Freitagabend so gegen 17 Uhr unterwegs gewesen und habe immer wieder Alkohol getrunken (S. 2 Ziff. 11). E r habe die ältere Dame gar nicht gesehen. Er habe mit einem Bekannten gesprochen. Plötzlich sei die ältere Dame vor ihm gewesen und umgefallen (S. 3 Ziff. 1 3). Der Beschuldigte bestätigte auf Anfrage , dass er nicht mehr habe geradeaus gehen können und nur noch getorkelt sei .</w:t>
      </w:r>
    </w:p>
    <w:p>
      <w:r>
        <w:t>Dies sei ihm eigentlich nicht bewusst gewesen (S. 4 Ziff. 27 f.).</w:t>
      </w:r>
    </w:p>
    <w:p>
      <w:r>
        <w:rPr>
          <w:b/>
        </w:rPr>
        <w:t>E. 3.1</w:t>
      </w:r>
    </w:p>
    <w:p>
      <w:r>
        <w:t>Laut Polizeirapport der Stadtpolizei Zürich vom 2 5. August 2011 sei der st ark alkoholisierte Beschuldigte vom Bahnhof Z.___ herkommend über den Marktplatz Z.___ in Richtung stadteinwärts getorkelt. Auf der Höhe A. ___ habe er sein Gleichgewicht nicht mehr halten können und sei auf die Beschwerdeführerin gestürzt, welche in die ent gegengesetzte Richtung gegan gen sei. Diese habe sich durch den Sturz verletzt ( Urk. 8/6/1 S.</w:t>
      </w:r>
    </w:p>
    <w:p>
      <w:r>
        <w:rPr>
          <w:b/>
        </w:rPr>
        <w:t>E. 3.2</w:t>
      </w:r>
    </w:p>
    <w:p>
      <w:r>
        <w:t>Die Beschwerdeführerin erlitt infolge des Ereignis ses einen Beckenbruch.</w:t>
      </w:r>
    </w:p>
    <w:p>
      <w:r>
        <w:t>G egenüber dem Beschwerdegegner machte sie ungedeckte Heilbehandlungs kosten in Höhe von Fr. 2‘215.60 sowie einen ihr entstandenen Haushalt- und Betreuungsschaden von Fr. 2‘924.-- geltend ( Urk. 8/11 S. 2 f. Ziff. 1).</w:t>
      </w:r>
    </w:p>
    <w:p>
      <w:r>
        <w:rPr>
          <w:b/>
        </w:rPr>
        <w:t>E. 4.1</w:t>
      </w:r>
    </w:p>
    <w:p>
      <w:r>
        <w:t>W er fahrlässig einen Menschen am Körper oder an der Gesundheit schädigt, wird, auf Antrag , mit Freiheitsstrafe bis zu drei Jahren oder Geldstrafe bestraft. Ist die Schädigung schwer, so wird der Täter von Amtes wegen verfolgt ( Art. 125 Abs. 1 und 2 StGB).</w:t>
      </w:r>
    </w:p>
    <w:p>
      <w:r>
        <w:t>Fahrlässig begeht ein Verbrechen oder Vergehen, wer die Folge seines Verhal tens aus pflichtwidriger Unvorsichtigkeit nicht bedenkt oder darauf nicht Rück sicht nimmt. Pflichtwidrig ist die Unvorsichtigkeit, wenn der Täter die Vorsicht nicht beachtet, zu der er nach den Umständen und nach seinen persönlichen Verhältnissen verpflichtet ist ( Art. 12 Abs. 3 StGB).</w:t>
      </w:r>
    </w:p>
    <w:p>
      <w:r>
        <w:t>Der Täter muss mit seinem Verhalten eine Sorgfaltspflicht verletzt haben. Sein Verhalten ist sorgfaltswidrig, wenn er zum Zeitpunkt der Tat aufgrund der Um stände sowie seiner Kenntnisse und Fähigkeiten die damit bewirkte Gefährdung der Rechtsgüter des Opfer s hätte erkennen können und müssen und wenn er zugleich die Grenzen des erlaubten Risikos überschritt . Grundvoraussetzung für das Bestehen einer Sorgfaltspflicht ist bei der unbewussten Fahrlässigkeit die Voraussehbarkeit des Erfolges, denn an diese knüpft die Motivierung zur Sorg falt an ( Trechsel /Jean-Richard, in: Schweizerisches Strafgesetzbuch, Praxiskom mentar , 2. Aufl., N 29 und N 38 zu Art. 12).</w:t>
      </w:r>
    </w:p>
    <w:p>
      <w:r>
        <w:rPr>
          <w:b/>
        </w:rPr>
        <w:t>E. 4.2</w:t>
      </w:r>
    </w:p>
    <w:p>
      <w:r>
        <w:t>Nach Auskunft von anderen Marktbesucher n konnte sich der alkoholisierte Be schuldigte</w:t>
      </w:r>
    </w:p>
    <w:p>
      <w:r>
        <w:t>kaum mehr auf den Beinen halten ( vgl. Urk. 8/6/1 S. 4 f.) . Entgegen den Vorbringen der Beschwerdeführerin kann dem Beschuldigten w eder betref fend das Er eignis vom 1 6. Juli 2011, als er in die Beschwerdeführerin hineinlief und diese zu Fall brachte , noch für die Zeit davor ein sorgfaltswidriges Verhal ten vorgeworfen werden. Wie ein Alkoholtest bestätigte, war der Beschuldigte am Morgen des 1 6. Juli 2011 zu betrunken, als dass ihm eine fahrlässige Tatbe gehung vorgeworfen werden kann. Weiter</w:t>
      </w:r>
    </w:p>
    <w:p>
      <w:r>
        <w:t>lässt sich aber auch nicht sagen, der Beschuldigte habe sich pflichtwidrig in einen alkoholisierten Zustand begeben und hätte vorhersehen müssen, dass er später mit Passanten zusammenstossen werde . In dem von der Beschwerdeführerin angeführten Entscheid des Bundes ge richts</w:t>
      </w:r>
    </w:p>
    <w:p>
      <w:r>
        <w:t>BGE 122 II 315 E. 3c ( Urk. 1 S. 5) ging es um</w:t>
      </w:r>
    </w:p>
    <w:p>
      <w:r>
        <w:t>das Fahren eines Fahr zeuges in fahruntüchtigem Zustand. Jene Situation lässt sich nicht mit dem vorliegend en Fall vergleichen, in dem sich der alkoholisierte Beschuldigte auf ei nem öffentlichen Markt platz aufhielt und er nicht am Strassenverkehr teil nahm. Die Verletzung einer Sorgfaltspflicht durch den Beschuldigten ist daher nicht ersichtlich.</w:t>
      </w:r>
    </w:p>
    <w:p>
      <w:r>
        <w:rPr>
          <w:b/>
        </w:rPr>
        <w:t>E. 4.3</w:t>
      </w:r>
    </w:p>
    <w:p>
      <w:r>
        <w:t>Zusammenfassend ist festzuhalten, dass der Tatbestand der fahrlässigen Körper verletzung nach Art. 1 25 Abs. 1 StGB nicht erfüllt ist . Mangels einer Straftat fehlt es auch an der Opfereigenschaft der Beschwerdeführerin. Diese hat dem nach keinen Anspruch auf Le istungen nach Opferhilfegesetz, was zur Abwei sung der Beschwerde führt.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