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OH.2009.00007 vom 16. September 2010</w:t>
      </w:r>
    </w:p>
    <w:p>
      <w:r>
        <w:t>ZH Sozialversicherungsgericht, 2010-09-16, DE</w:t>
      </w:r>
    </w:p>
    <w:p>
      <w:r>
        <w:rPr>
          <w:b/>
        </w:rPr>
        <w:t xml:space="preserve">Quelle: </w:t>
      </w:r>
      <w:r>
        <w:t>https://mcp.opencaselaw.ch/entscheid/zh_sozialversicherungsgericht_OH.2009.00007</w:t>
      </w:r>
    </w:p>
    <w:p>
      <w:r>
        <w:t>FR: ZH_SOZIALVERSICHERUNGSGERICHT OH.2009.00007 du 16 septembre 2010</w:t>
      </w:r>
    </w:p>
    <w:p>
      <w:r>
        <w:t>IT: ZH_SOZIALVERSICHERUNGSGERICHT OH.2009.00007 del 16 settembre 2010</w:t>
      </w:r>
    </w:p>
    <w:p>
      <w:pPr>
        <w:pStyle w:val="Heading2"/>
      </w:pPr>
      <w:r>
        <w:t>Erwägungen</w:t>
      </w:r>
    </w:p>
    <w:p>
      <w:r>
        <w:rPr>
          <w:b/>
        </w:rPr>
        <w:t>E. 2</w:t>
      </w:r>
    </w:p>
    <w:p>
      <w:r>
        <w:t>2.1Â Â Â Â  Der Beschwerdegegner ging in der angefochtenen VerfÃ¼gung vom 5. Februar 2009 (Urk. 2) einerseits davon aus, dass die BeschwerdefÃ¼hrerin zum Zeitpunkt der Straftat nicht Ã¼ber die schweizerische StaatsangehÃ¶rigkeit verfÃ¼gt habe und aus diesem Grunde keinen Anspruch auf eine EntschÃ¤digung und eine Genugtuung habe. Andererseits verneinte der Beschwerdegegner einen Anspruch der BeschwerdefÃ¼hrerin auf eine EntschÃ¤digung und eine Genugtuung mit der BegrÃ¼ndung, dass die BeschwerdefÃ¼hrerin ihr Gesuch um EntschÃ¤digung und Genugtuung nicht rechtzeitig innerhalb der zweijÃ¤hrigen Verwirkungsfrist zur Geltendmachung geltend gemacht habe.</w:t>
      </w:r>
    </w:p>
    <w:p>
      <w:r>
        <w:t>2.2Â Â Â Â  Die BeschwerdefÃ¼hrerin bringt hiegegen vor, dass sie zum Zeitpunkt der Straftat Ã¼ber die Ã¶sterreichische StaatsangehÃ¶rigkeit verfÃ¼gt habe, weshalb sie als StaatsangehÃ¶rige eines Vertragsstaates des FreizÃ¼gigkeitsabkommens zwischen der Schweizerischen Eidgenossenschaft einerseits und der EuropÃ¤ischen Gemeinschaft so zu behandeln sei, wie wenn sie zum Tatzeitpunkt Ã¼ber die schweizerische StaatsangehÃ¶rigkeit verfÃ¼gte hÃ¤tte (Urk. 1 S. 6). Zudem kÃ¶nne ihr die zweijÃ¤hrige Verwirkungsfrist nicht entgegengehalten werden, da sie nicht Ã¼ber ihre Rechte und insbesondere nicht Ã¼ber die Verwirkungsfrist zu deren Geltendmachung informiert worden sei (Urk. 1 S. 6).</w:t>
      </w:r>
    </w:p>
    <w:p>
      <w:r>
        <w:rPr>
          <w:b/>
        </w:rPr>
        <w:t>E. 3</w:t>
      </w:r>
    </w:p>
    <w:p>
      <w:r>
        <w:t>3.1Â Â Â Â  Am 1. Juni 2002 ist das Abkommen vom 21. Juni 1999 zwischen der Schweizerischen Eidgenossenschaft einerseits und der EuropÃ¤ischen Gemeinschaft und ihren Mitgliedstaaten andererseits Ã¼ber die FreizÃ¼gigkeit (FreizÃ¼gigkeitsabkommen;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w:t>
      </w:r>
    </w:p>
    <w:p>
      <w:r>
        <w:t>3.2Â Â Â Â  In zeitlicher Hinsicht ist das FZA vorliegend anwendbar, da ein Leistungsanspruch fÃ¼r die Zeit nach dessen Inkrafttreten geltend gemacht wird und der angefochtene Einspracheentscheid nach diesem Datum ergangen ist (BGE 131 V 225 Erw. 2.3). Auch in persÃ¶nlicher Hinsicht ist das FZA anwendbar, da die BeschwerdefÃ¼hrerin zum Zeitpunkt der Straftat Ã¼ber die Ã¶sterreichische StaatsangehÃ¶rigkeit verfÃ¼gte (Urk. 3/3-4) und damit StaatsangehÃ¶rige eines Mitgliedstaates der EuropÃ¤ischen Gemeinschaft war, fÃ¼r welche die Rechtsvorschriften des FZA galten.</w:t>
      </w:r>
    </w:p>
    <w:p>
      <w:r>
        <w:t>3.3Â Â Â Â  Fraglich ist, ob die vorliegend im Streite stehenden Opferhilfeleistungen in den sachlichen Anwendungsbereich des FZA fallen. Nach Lehre und Rechtsprechung kÃ¶nnen finanzielle Opferhilfeleistungen soziale VergÃ¼nstigungen im Sinne des Europarechts beziehungsweise des FZA darstellen (vgl. GÃ¶rg Haverkate/Stefan Huster, EuropÃ¤isches Sozialrecht, Baden-Baden 1999, S. 233; Urteil des Bundesgerichts in Sachen A. vom 24. September 2008, 1C_106/2008, Erw. 4.3; Urteil des EuGH vom 2. Februar 1989 in der Rechtssache 186/87, Cowan, Slg. 1989, S. 195).</w:t>
      </w:r>
    </w:p>
    <w:p>
      <w:r>
        <w:t>3.4Â Â Â Â  GemÃ¤ss Art. 9 Abs. 2 Anhang I FZA geniessen ein Arbeitnehmer und seine FamilienangehÃ¶rigen im Hoheitsgebiet eines anderen Vertragsstaates die gleichen steuerlichen und sozialen VergÃ¼nstigungen wie inlÃ¤ndische Arbeitnehmer und ihre FamilienangehÃ¶rigen. GemÃ¤ss der bei der Auslegung des FZA zu berÃ¼cksichtigenden Rechtsprechung des EuGH sind dabei sowohl offenkundige als auch mittelbare beziehungsweise versteckte Formen der Diskriminierung verboten. Als mittelbar diskriminierend sind Voraussetzungen des nationalen Rechts anzusehen, die zwar unabhÃ¤ngig von der StaatsangehÃ¶rigkeit gelten, aber ganz oder Ã¼berwiegend Wanderarbeitnehmer betreffen, von inlÃ¤ndischen Arbeitnehmern leichter zu erfÃ¼llen sind als von Wanderarbeitnehmern oder bei denen die Gefahr besteht, dass sie sich besonders zum Nachteil der Wanderarbeitnehmer auswirken (vgl. BGE 131 V 215 Erw. 6.2 f.). Anders verhÃ¤lt es sich nur dann, wenn diese Vorschriften durch objektive, von der StaatsangehÃ¶rigkeit der betroffenen Arbeitnehmer unabhÃ¤ngige ErwÃ¤gungen gerechtfertigt sind und in einem angemessenen VerhÃ¤ltnis zum Zweck stehen, der mit den nationalen Rechtsvorschriften zulÃ¤ssigerweise verfolgt wird (Urteil des EuGH vom 21. September 2000 in der Rechtssache C-124/99, Borawitz, Slg. 2000, I S. 7293, N 25-31).</w:t>
      </w:r>
    </w:p>
    <w:p>
      <w:r>
        <w:t>3.5Â Â Â Â  Die Frage, ob die im Streite stehenden finanziellen Opferhilfeleistungen soziale VergÃ¼nstigungen im Sinne des FZA darstellen, sowie - bei Bejahung dieser Frage - ob die in Art. 11 Abs. 3 OHG statuierte BeschrÃ¤nkung des Leistungsanspruchs auf Personen mit Schweizer BÃ¼rgerrecht in Bezug auf StaatsangehÃ¶rige eines Mitgliedstaates der EuropÃ¤ischen Gemeinschaft eine unzulÃ¤ssige Diskriminierung im Sinne von Art. 9 Abs. 2 Anhang I FZA darstellt, kann vorliegend indes offen gelassen werden, wenn, was im Folgenden zu prÃ¼fen sein wird, die AnsprÃ¼che der BeschwerdefÃ¼hrerin auf eine EntschÃ¤digung und eine Genugtuung schon deshalb zu verneinen wÃ¤ren, weil diese zum Zeitpunkt der Geltendmachung bereits verwirkt gewesen wÃ¤ren.</w:t>
      </w:r>
    </w:p>
    <w:p>
      <w:r>
        <w:rPr>
          <w:b/>
        </w:rPr>
        <w:t>E. 4</w:t>
      </w:r>
    </w:p>
    <w:p>
      <w:r>
        <w:t>4.1Â Â Â Â  Die BeschwerdefÃ¼hrerin rÃ¼gt eine Verletzung der im Opferhilferecht vorgesehenen Informationspflichten der BehÃ¶rden. Sie vertritt die Auffassung, dass sie von den schweizerischen BehÃ¶rden und insbesondere von der schweizerischen Vertretung in Manila, Philippinen, nicht Ã¼ber ihre Rechte gemÃ¤ss dem OHG und insbesondere nicht Ã¼ber die Verwirkungsfrist zu deren Geltendmachung informiert worden sei (Urk. 1 S. 6, Urk. 16 S. 5).</w:t>
      </w:r>
    </w:p>
    <w:p>
      <w:r>
        <w:t>4.2Â Â Â Â  Streitig und zu prÃ¼fen ist im Folgenden daher die Frage, ob die BeschwerdefÃ¼hrerin ihre AnsprÃ¼che auf finanzielle Leistungen gemÃ¤ss dem OHG rechtzeitig innerhalb der zweijÃ¤hrigen Verwirkungsfrist gestellt hat.</w:t>
      </w:r>
    </w:p>
    <w:p>
      <w:r>
        <w:rPr>
          <w:b/>
        </w:rPr>
        <w:t>E. 5</w:t>
      </w:r>
    </w:p>
    <w:p>
      <w:r>
        <w:t>5.1Â Â Â Â  Die BeschwerdefÃ¼hrerin wurde am 22. Januar 2005 in der Republik der Philippinen Opfer eines bewaffneten RaubÃ¼berfalles (Urk. 10/1, Urk. 10/1/2). Nach ihren Angaben (Urk. 16 S. 4) ist die BeschwerdefÃ¼hrerin im Februar 2005 im Rahmen eines Verfahrens betreffend die Visumerteilung an verwandte Personen mit der schweizerischen diplomatischen Vertretung in Manila, Philippinen, in Kontakt getreten. Dabei sei sie nicht Ã¼ber ihre Rechte gemÃ¤ss dem OHG und Ã¼ber die zweijÃ¤hrige Verwirkungsfrist zu ihrer Geltendmachung informiert worden. Am 17. April 2008 (Urk. 10/1) stellte die BeschwerdefÃ¼hrerin ein Gesuch um EntschÃ¤digung und Genugtuung. Unbestrittenermassen (Urk. 1) ist davon auszugehen, dass die BeschwerdefÃ¼hrerin bereits zum Tatzeitpunkt Kenntnis der Straftat und ihrer Folgen hatte. Die zweijÃ¤hrige Verwirkungsfrist von Art. 16 Abs. 3 OHG begann daher am 23. Januar 2005 zu laufen und endete am 22. Januar 2007.</w:t>
      </w:r>
    </w:p>
    <w:p>
      <w:r>
        <w:t>5.2Â Â Â Â  Damit das Opfer seine AnsprÃ¼che Ã¼berhaupt wirksam geltend machen kann, sieht das Gesetz besondere Mitteilungs- und Beratungspflichten der BehÃ¶rden vor. Die Polizei hat das Opfer bei der ersten Einvernahme Ã¼ber die kantonalen Opferhilfe-Beratungsstellen in Kenntnis zu setzen (Art. 6 Abs. 1 OHG). Sie Ã¼bermittelt Name und Adresse des Opfers einer Beratungsstelle, sofern das Opfer die Ãbermittlung nicht ablehnt (Art. 6 Abs. 2 OHG). Diese haben das Opfer zu beraten und Ã¼ber seine Rechte, insbesondere Ã¼ber die MÃ¶glichkeit, EntschÃ¤digungs- und GenugtuungsansprÃ¼che zu stellen, zu informieren (Art. 1 Abs. 2, Art. 3 Abs. 2 lit. b OHG; BGE 123 II 244 Erw. 3e). Zur Beratung gehÃ¶rt des Weitern ein Hinweis auf die Verwirkungsfrist von Art. 16 Abs. 3 OHG (BGE 126 II 354 Erw. 5a). Die behÃ¶rdliche Pflicht zur ausreichenden Information des Opfers stellt das notwendige prozessuale Korrelat zur strengen Verwirkungsfrist nach Art. 16 Abs. 3 OHG dar. Falls das Opfer gar nie informiert worden ist, kann ihm die Verwirkungsfrist von Art. 16 Abs. 3 OHG grundsÃ¤tzlich nicht entgegen gehalten werden. Erfolgt eine ausreichende Information erst nach Ablauf der Verwirkungsfrist, ist nach der Rechtsprechung aufgrund der konkreten UmstÃ¤nde des Einzelfalls und im Lichte des Grundsatzes von Treu und Glauben zu prÃ¼fen, ob der Eintritt der Verwirkung ausnahmsweise verneint werden kann (BGE 129 II 411 Erw. 2; 123 II 245 Erw. 3 f.; Urteil des Bundesgerichts vom 8. Dezember 1997, 1A.217/1997, Erw. 5, publiziert in PlÃ¤doyer 1998 S. 64, je mit Hinweisen).</w:t>
      </w:r>
    </w:p>
    <w:p>
      <w:r>
        <w:t>5.3Â Â Â Â  GemÃ¤ss der Rechtsprechung (BGE 123 II 241 Erw. 3 f.) ergibt sich aus der Informationspflicht der BehÃ¶rden aber nur, dass das Opfer aus einem unverschuldeten Informationsmangel keine Nachteile erleiden soll. Indessen kann nicht mehr von Schuldlosigkeit ausgegangen werden, wenn das Opfer von dritter Seite Kenntnis von der MÃ¶glichkeit opferrechtlicher AnsprÃ¼che erhÃ¤lt. Kenntnisse eines bevollmÃ¤chtigten Rechtsanwalts hat sich das Opfer gemÃ¤ss den GrundsÃ¤tzen des Stellvertretungsrechts als eigene Kenntnisse anrechnen zu lassen. Dasselbe gilt fÃ¼r eine SÃ¤umnis des Rechtsanwalts. Daran Ã¤ndert auch die Unterlassung der behÃ¶rdlichen Informationspflichten nichts. Diese dienen in erster Linie dazu, hilflose Opfer in die Lage zu versetzen, ihre AnsprÃ¼che wirksam geltend zu machen (BGE 123 II 247 Erw. 3h). Die Vermutung der Unkenntnis des Gesetzes, welche den behÃ¶rdlichen Informationspflichten zugrunde liegt, kann bei einem durch einen Rechtsanwalt vertretenen Opfer nicht spielen (Urteile des Bundesgerichts in Sachen X. vom 7. MÃ¤rz 2007, Erw. 6.2 und in Sachen A.B.C. vom 26. MÃ¤rz 2010, 1C_544/2009, Erw. 4.2).</w:t>
      </w:r>
    </w:p>
    <w:p>
      <w:r>
        <w:t>5.4Â Â Â Â  Unterbleibt eine Auskunft entgegen gesetzlicher Vorschrift oder obwohl sie nach den im Einzelfall gegebenen UmstÃ¤nden geboten war, hat die Rechtsprechung dies der Erteilung einer unrichtigen Auskunft gleichgestellt (BGE 124 V 221, 112 V 120 Erw. 3b; ARV 2003 S. 127 Erw. 3b, 2002 S. 115 Erw. 2c, 2000 S. 98 Erw. 2b). Abgeleitet aus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RKUV 2000 Nr. KV 126 S. 223; BGE 131 V 472; Urteil des damaligen EidgenÃ¶ssischen Versicherungsgerichts, EVG, in Sachen W. vom 28. Oktober 2005, C 157/05, Erw. 4).</w:t>
      </w:r>
    </w:p>
    <w:p>
      <w:r>
        <w:t>5.5Â Â Â Â  GemÃ¤ss der bis zum Inkrafttreten des revidierten OHG am 1. Januar 2009 geltenden Rechtslage oblag eine gesetzliche Informationspflicht lediglich der Polizei (Art. 6 Abs. 1 OHG) und den Opferberatungsstellen (Art. 1 Abs. 2, Art. 3 Abs. 2 lit. b OHG). Hingegen bestand bis zum Inkrafttreten des revidierten OHG am 1. Januar 2009 keine gesetzliche Verpflichtung der schweizerischen Vertretungen im Ausland, Opfer von Straftaten, welche sich im Ausland ereigneten, Ã¼ber ihre Rechte gemÃ¤ss dem OHG und insbesondere Ã¼ber die Verwirkungsfrist zu ihrer Geltendmachung zu informieren. Nicht um eine solche gesetzliche Verpflichtung handelt es sich insbesondere bei den in der ÂWeisung des Bundesamtes fÃ¼r Justiz an die schweizerischen Vertretungen im Ausland betreffend die Hilfe an Opfer von StraftatenÂ vom 14. April 2000 (Urk. 19/1) enthaltenden Vorschriften betreffend die Information von Opfern von Straftaten durch die schweizerischen Vertretungen im Ausland.</w:t>
      </w:r>
    </w:p>
    <w:p>
      <w:r>
        <w:t>5.6Â Â Â Â  Mangels einer gesetzlichen Verpflichtung zur Auskunfterteilung bestand daher bis zum Inkrafttreten des revidierten OHG in Bezug auf die schweizerischen Vertretungen im Ausland eine mit der im Sozialversicherungsrecht bis zum Inkrafttreten des Bundesgesetzes Ã¼ber den Allgemeinen Teil des Sozialversicherungsrechts (ATSG) und insbesondere von dessen Art. 27 vergleichbare Rechtslage. GemÃ¤ss der dazu ergangenen Rechtsprechung (ARV 2002 S. 113, 2000 Nr. 20 S. 98 Erw. 2b; BGE 124 V 220 Erw. 2b) bestand im Sozialversicherungsrecht mangels einer gesetzlichen Verpflichtung keine umfassende Auskunfts-, Beratungs- und Belehrungspflicht der BehÃ¶rden, namentlich auch nicht gestÃ¼tzt auf den verfassungsmÃ¤ssigen Grundsatz von Treu und Glauben. Unter der damals herrschenden Rechtslage brauchten beispielsweise die Organe der Arbeitslosenversicherung nicht von sich aus - spontan, ohne vom Versicherten angefragt worden zu sein - diesem AuskÃ¼nfte zu erteilen oder diesen auf drohende Rechtsnachteile aufmerksam zu machen. Dies galt auch fÃ¼r drohende Verluste sozialversicherungsrechtlicher Leistungen (Urteil des EVG in Sachen W. vom 28. Oktober 2005, C 157/05, Erw. 4.3; ARV 2002 S. 113; BGE 124 V 220 Erw. 2b).</w:t>
      </w:r>
    </w:p>
    <w:p>
      <w:r>
        <w:t>5.7Â Â Â Â  Konkrete UmstÃ¤nde, welche eine ausserhalb der gesetzlich statuierten Verpflichtung im Sinne der Rechtsprechung aufdrÃ¤ngten (vgl. ARV 2002 S. 115 Erw. 2c), sind vorliegend nicht zu erkennen. Denn die BeschwerdefÃ¼hrerin stand nach ihren Angaben (Urk. 16 S. 4) lediglich ein einziges Mal im Rahmen eines ihre Verwandten betreffenden Verfahrens um Visumerteilung mit der schweizerischen Vertretung in Manila in Kontakt. Unter diesen UmstÃ¤nden kann nicht von konkreten UmstÃ¤nden gesprochen werden, welche trotz fehlender gesetzlicher Informationspflicht eine ausnahmsweise Berufung auf Treu und Glauben wegen unterlassener Information durch die schweizerische Vertretung in der Republik der Philippinen rechtfertigen wÃ¼rde. Die Voraussetzungen fÃ¼r die Anwendung des Vertrauensschutzes sind somit nicht erfÃ¼llt.</w:t>
      </w:r>
    </w:p>
    <w:p>
      <w:r>
        <w:t>6.Â Â Â Â Â Â  Nach Gesagtem steht daher fest, dass die BeschwerdefÃ¼hrerin erstmals am 17. April 2008 (Urk. 10/1) ein Gesuch um finanzielle Leistungen gemÃ¤ss dem OHG stellte. Damit hat die BeschwerdefÃ¼hrerin ihre AnsprÃ¼che auf EntschÃ¤digung und Genugtuung nicht rechtzeitig innerhalb der zweijÃ¤hrigen Verwirkungsfrist von Art. 16 Abs. 3 OHG, die am 23. Januar 2005 zu laufen begann und am 22. Januar 2007 endete, geltend gemacht, mit der Folge, dass ihre AnsprÃ¼che verwirkten. Unter diesen UmstÃ¤nden kann die Frage, ob die BeschwerdefÃ¼hrerin als Ã¶sterreichische StaatsangehÃ¶rige gestÃ¼tzt auf das Diskriminierungsverbot von Art. 9 Abs. 2 Anhang I FZA wie eine schweizerische StaatsangehÃ¶rige zu betrachten wÃ¤re, mit der Konsequenz, dass ihr die in Art. 11 Abs. 3 OHG statuierte Anspruchsvoraussetzung des Schweizer BÃ¼rgerrechts zum Tatzeitpunkt nicht entgegengehalten werden kÃ¶nnte, offen gelassen werden.</w:t>
      </w:r>
    </w:p>
    <w:p>
      <w:r>
        <w:t>Â Â Â Â Â Â Â Â  Demnach ist die gegen die angefochtene VerfÃ¼gung vom 5. Februar 2009 (Urk. 2)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Dominique Chopard</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