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OH.2008.00004 vom 22. Juni 2010</w:t>
      </w:r>
    </w:p>
    <w:p>
      <w:r>
        <w:t>ZH Sozialversicherungsgericht, 2010-06-22, DE</w:t>
      </w:r>
    </w:p>
    <w:p>
      <w:r>
        <w:rPr>
          <w:b/>
        </w:rPr>
        <w:t xml:space="preserve">Quelle: </w:t>
      </w:r>
      <w:r>
        <w:t>https://mcp.opencaselaw.ch/entscheid/zh_sozialversicherungsgericht_OH.2008.00004</w:t>
      </w:r>
    </w:p>
    <w:p>
      <w:r>
        <w:t>FR: ZH_SOZIALVERSICHERUNGSGERICHT OH.2008.00004 du 22 juin 2010</w:t>
      </w:r>
    </w:p>
    <w:p>
      <w:r>
        <w:t>IT: ZH_SOZIALVERSICHERUNGSGERICHT OH.2008.00004 del 22 giugno 2010</w:t>
      </w:r>
    </w:p>
    <w:p>
      <w:pPr>
        <w:pStyle w:val="Heading2"/>
      </w:pPr>
      <w:r>
        <w:t>Erwägungen</w:t>
      </w:r>
    </w:p>
    <w:p>
      <w:r>
        <w:rPr>
          <w:b/>
        </w:rPr>
        <w:t>E. 4.1</w:t>
      </w:r>
    </w:p>
    <w:p>
      <w:r>
        <w:t>GemÃ¤ss den medizinischen Unterlagen erlitt der BeschwerdefÃ¼hrer infolge des Ereignisses vom 11. Dezember 2001 eine Schrotschussverletzung im Ellbogenbereich beidseits mit Grad III offener supraconylÃ¤rer TrÃ¼mmerfraktur rechts mit UlnarislÃ¤sion rechts mit sensiblen und motorischen AusfÃ¤llen und Grad III offener proximaler Radius-Mehrfragmentfraktur links mit partieller Durchtrennung von MuskelbÃ¤uchen der Extensorensehnen. Diese Verletzungen erforderten mehrfache Operationen (Urk. 7/9/2; Urk. 7/13/2-12). Mit Bericht vom 30. Dezember 2002 (Urk. 7/13/1) schÃ¤tzte der behandelnde Arzt Dr. Y.___, Oberarzt am Kantonsspital Z.___, Chirurgische Klinik und Poliklinik, die medizinisch-theoretische InvaliditÃ¤t auf 25 bis 50 %. Zu diesem Zeitpunkt bestand eine eingeschrÃ¤nkte Beweglichkeit des rechten Ellbogengelenks und eine eingeschrÃ¤nkte Beweglichkeit und SensibilitÃ¤t der rechten Hand. Diese Befunde wÃ¼rden sich langsam, aber stetig bessern. Sein Zustand, vor allem die Feinmotorik der rechten Hand, sei verbesserungsfÃ¤hig. Narben wÃ¼rden zeitlebens bleiben. Im Alltag habe der BeschwerdefÃ¼hrer MÃ¼he mit rechtsseitigen TÃ¤tigkeiten wie ZÃ¤hneputzen, Rasieren sowie KÃ¼chenarbeiten; er fÃ¼hre diese TÃ¤tigkeiten mittlerweile automatisch mit der linken Hand aus (Urk. 7/13/1 S. 1 f.).</w:t>
      </w:r>
    </w:p>
    <w:p>
      <w:r>
        <w:t>Am 29. September 2003 hielt Dr. Y.___ fest, dass der Fall aus unfallchirurgischer Sicht abgeschlossen werden kÃ¶nne. Der BeschwerdefÃ¼hrer sei zwischenzeitlich mit seiner Armfunktion sehr zufrieden, bis auf ein Streckdefizit, was ihn vor allem beim Kung-Fu stÃ¶re. Er sei jedoch sehr durch das kosmetische Resultat gestÃ¶rt (Urk. 20/5/5).</w:t>
      </w:r>
    </w:p>
    <w:p>
      <w:r>
        <w:rPr>
          <w:b/>
        </w:rPr>
        <w:t>E. 4.2</w:t>
      </w:r>
    </w:p>
    <w:p>
      <w:r>
        <w:t>AnlÃ¤sslich der Ã¤rztlichen Abschlussuntersuchung bei Kreisarzt Dr. med. C.___, Spezialarzt FMH fÃ¼r Chirurgie, am 12. Mai 2004 hielt der BeschwerdefÃ¼hrer fest, dass die Ã¤rztliche Behandlung abgeschlossen sei und er wieder voll als MÃ¶belschreiner arbeite. Bei der Arbeit stÃ¶re ihn immer wieder der Kleinfinger, da er ihm beim Arbeiten in die Quere komme. Ansonsten sei es schwierig zu beurteilen, wie er behindert sei. Er kÃ¶nne sich eigentlich mit beiden Armen wieder sehr gut zurecht finden. In den Sommermonaten werde er aber infolge der Missbildungen an den Armen immer wieder auf seinen Unfall angesprochen. Ausserdem kÃ¶nne er den rechten Ellbogen, verglichen mit dem linken, nicht ganz strecken und beugen, was ebenfalls stÃ¶rend sei (Urk. 7/16/7 S. 1).</w:t>
      </w:r>
    </w:p>
    <w:p>
      <w:r>
        <w:t>GemÃ¤ss Dr. C.___ kÃ¶nne bei der Opposition des Daumens auf KÃ¶pfchen von Metacarpale V auf der linken Seite das Metacarpale-KÃ¶pfchen gut erreicht werden, auf der rechten Seite bestehe eine Sperrdistanz von 1 cm. Der rechte Kleinfinger kÃ¶nne nicht ganz gestreckt werden. Im proximalen Interphalangealgelenk bestehe ein Streckdefizit von 35Â°. Im Ausbreitungsgebiet des N. ulnaris an der rechten Hand gebe der BeschwerdefÃ¼hrer ein herabgesetztes GefÃ¼hl an, er kÃ¶nne zwischen der radialen und der ulnaren Seite des IV. Fingers gut unterscheiden. Die Operationsnarben am linken und am rechten Arm seien reizlos. Der BeschwerdefÃ¼hrer weise eine krÃ¤ftige Handbeschwielung auf, wie sie nur bei einem manuell Arbeitenden zu erwarten sei. Beim PrÃ¼fen des Froment-Zeichens kÃ¶nne er auf der rechten Seite ein Blatt viel schlechter halten als auf der linken. Die FunktionsprÃ¼fung des M. carpi ulnaris sei unauffÃ¤llig, ebenso die FunktionsprÃ¼fung des M. flexor digitorum profundus. Die Flexion der Langfinger im Grundgelenk sei auf der rechten Seite mÃ¶glich, jedoch weniger stark. Ebenso kÃ¶nnten die Finger der rechten Hand gegen Widerstand weniger gut gespreizt werden (Urk. 7/16/7 S. 1 f.).</w:t>
      </w:r>
    </w:p>
    <w:p>
      <w:r>
        <w:t>Sowohl am linken Vorderarm wie am rechten Oberarm bestehe ein Substanzverlust von Muskulatur und unschÃ¶ne Narben, ausserdem bestehe ein Streckdefizit am rechten Ellbogen von 30Â° und ein Beugedefizit von 20Â°, ebenso sei die Pronation rechts gegenÃ¼ber links stark eingeschrÃ¤nkt und es bestehe eine UlnarislÃ¤sion der linken Hand. Dieser Schaden sei erheblich und dauernd (Urk. 7/24/4).</w:t>
      </w:r>
    </w:p>
    <w:p>
      <w:r>
        <w:rPr>
          <w:b/>
        </w:rPr>
        <w:t>E. 4.3</w:t>
      </w:r>
    </w:p>
    <w:p>
      <w:r>
        <w:t>Auf Anfrage durch den Beschwerdegegner hielt Dr. Y.___ mit Bericht vom 18. April 2007 (Urk. 7/26) fest, dass die BeeintrÃ¤chtigung der ArbeitsfÃ¤higkeit des BeschwerdefÃ¼hrers stark von der entsprechenden Arbeit abhÃ¤nge. Der BeschwerdefÃ¼hrer selbst sei der Meinung, dass er als Innenarchitekt zu 100 % arbeiten kÃ¶nne. Dabei sei aber festzuhalten, dass er je nach anfallender Arbeit aufgrund der vorhandenen Fehlstellung des Kleinfingers, dem Ausfall des N. ulnaris sowie einer verminderten Kraft und Beweglichkeit, insbesondere im Hand- und Ellbogenbereich, beeintrÃ¤chtigt sei. Der Umfang der BeeintrÃ¤chtigung sei sehr schwierig vorauszusagen. Insgesamt liege eine deutliche BeeintrÃ¤chtigung der Kraft sowie der Feinmotorik und der Beweglichkeit vor, deretwegen der BeschwerdefÃ¼hrer zeitlebens eingeschrÃ¤nkt sein werde (Urk. 7/26 S. 1 f.).</w:t>
      </w:r>
    </w:p>
    <w:p>
      <w:r>
        <w:t>Im Haushaltbereich liegt gemÃ¤ss Dr. Y.___ ebenfalls eine BeeintrÃ¤chtigung. Diese betrage fÃ¼r den vom Beschwerdegegner mit 10-15 % veranschlagten Bereich ErnÃ¤hrung (RÃ¼sten, Kochen, Anrichten) 50 %. Im mit 5-20 % veranschlagten Bereich WÃ¤sche und Kleiderpflege (Waschen, WÃ¤sche aufhÃ¤ngen und abnehmen, BÃ¼geln, Flicken, Schuhe putzen) bestehe eine BeeintrÃ¤chtigung von 30 %. Im mit 0-50% veranschlagten Bereich Verschiedenes (z. B. Krankenpflege, Pflanzen- und Gartenpflege, Haustierhaltung, Anfertigung von Kleidern, gemeinnÃ¼tzige TÃ¤tigkeiten, Weiterbildung, kÃ¼nstlerisches Schaffen, mit Ausnahme reiner FreizeitbeschÃ¤ftigungen) sei der BeschwerdefÃ¼hrer zu 20 % eingeschrÃ¤nkt. Keine EinschrÃ¤nkung bestehe in den Bereichen HaushaltfÃ¼hrung (Planung, Kontrolle, Organisation, Arbeitseinteilung), Wohnungspflege (Abstauben, Staubsaugen, Bodenpflege, Fenster putzen, Betten machen) und Einkaufen - mit Ausnahme des Tragens schwerer Lasten mit der rechten Hand - sowie weiteren Besorgungen (Post, Versicherungen, Amtsstellen; Urk. 7/26 in Verbindung mit Urk. 7/20 S. 3).</w:t>
      </w:r>
    </w:p>
    <w:p>
      <w:r>
        <w:t>5.Â Â Â Â Â Â</w:t>
      </w:r>
    </w:p>
    <w:p>
      <w:r>
        <w:t>5.1 Der Beschwerdegegner errechnete fÃ¼r die Zeit vom 12. Dezember 2001 bis 31. Oktober 2007 einen bereits angefallenen Erwerbsausfall in HÃ¶he von Fr. 18'794.-- (Urk. 2 S. 7). Dies wurde vom BeschwerdefÃ¼hrer nicht bestritten (Urk. 1 S. 6 Ziff. 3.2) und ist nicht zu beanstanden. Streitig und zu prÃ¼fen ist deshalb einzig die HÃ¶he des kÃ¼nftigen Schadens.</w:t>
      </w:r>
    </w:p>
    <w:p>
      <w:r>
        <w:t>5.2 Massgeblich fÃ¼r die Feststellung der finanziellen VerhÃ¤ltnisse und der Berechnung der EntschÃ¤digung ist der Zeitpunkt der VerfÃ¼gung Ã¼ber die EntschÃ¤digungsleistungen (BGE 129 II 145; BGE 131 II 656; Gomm/Zehntner, Kommentar zum OHG, Art. 14 Rz. 50).</w:t>
      </w:r>
    </w:p>
    <w:p>
      <w:r>
        <w:t>Der Beschwerdegegner erliess die angefochtene VerfÃ¼gung am 5. November 2007 (Urk. 2). Zu diesem Zeitpunkt lagen Lohnangaben fÃ¼r die Jahre 2004 bis 2007 vor (vgl. Urk. 7/16/17-18; Urk. 7/28/2; Urk. 7/28/4-8). Aus den beigezogenen Akten der Invalidenversicherung ist ersichtlich, dass der BeschwerdefÃ¼hrer gemÃ¤ss seinen Angaben vom 2. November 2007 (vgl. Urk. 20/27/2) ab Mai 2008 eine neue Anstellung bei der Firma A.___ habe und einen Anfangslohn von Fr. 5'050.-- brutto, wie bei seinem bisherigen Arbeitgeber Heuberger AG, erzielen werde. Seitens der Invalidenversicherung wurde dazu festgehalten, dass der BeschwerdefÃ¼hrer rentenausschliessend eingegliedert sei (vgl. Urk. 20/27/2; Urk. 20/26/1). Diese Angaben ergingen so zeitnah zur angefochtenen VerfÃ¼gung, dass sie, wenngleich dem Beschwerdegegner offenbar unbekannt, fÃ¼r die Beurteilung des hypothetischen Erwerbsschadens zu berÃ¼cksichtigen gewesen wÃ¤ren. Es rechtfertigt sich deshalb, die Angaben zu diesem ArbeitsverhÃ¤ltnis in die Sachverhaltsbeurteilung mit einzubeziehen.</w:t>
      </w:r>
    </w:p>
    <w:p>
      <w:r>
        <w:t>5.3 GemÃ¤ss den vom hiesigen Gericht angeforderten Unterlagen zum ArbeitsverhÃ¤ltnis des BeschwerdefÃ¼hrers schloss dieser am 18. Juni 2008 einen Arbeitsvertrag mit der Firma A.___ als Inneneinrichter/Innenarchitekt/Verkaufsberater (Urk. 31/1). Stellenantritt war der 1. Juni 2008, als Monatslohn wurde - offenbar entgegen frÃ¼herer Absicht - ein Betrag von Fr. 4'525.-- brutto vereinbart. Weiter beabsichtige der Arbeitgeber, dem Arbeitnehmer bis Ende 2012 eine Beteiligung am Unternehmen zu ermÃ¶glichen. Voraussetzung dazu sei eine gute Zusammenarbeit und die fachliche Eignung des Arbeitnehmers (Urk. 31/1 S. 2).</w:t>
      </w:r>
    </w:p>
    <w:p>
      <w:r>
        <w:t>5.4 Im Jahr 2009 verdiente der BeschwerdefÃ¼hrer bei A.___ einen Bruttolohn von Fr. 57'600.-- jÃ¤hrlich, somit brutto Fr. 4'800.-- monatlich (vgl. Urk. 31/3). Wie der Beschwerdegegner selbst einrÃ¤umt (vgl. Urk. 34), erzielt der BeschwerdefÃ¼hrer damit wesentlich geringere Einnahmen als diejenigen, die der angefochtenen VerfÃ¼gung zugrunde lagen, und sogar weniger, als er als Schreiner vor Abschluss seiner Weiterbildung verdiente. Ein Grund fÃ¼r diese Erwerbseinbusse ist nicht aktenkundig. Zwar ist vorstellbar, dass die geringe Berufserfahrung als Innenarchitekt damit in Zusammenhang steht. Es kann jedoch nicht ausgeschlossen werden, dass die kÃ¶rperliche BeeintrÃ¤chtigung des BeschwerdefÃ¼hrers, die medizinisch dokumentiert ist (vgl. vorstehend Erw. 4), fÃ¼r die Erwerbseinbusse verantwortlich ist. Somit erweist sich der Sachverhalt in einem zentralen Punkt als zu wenig abgeklÃ¤rt. Insbesondere ist die der angefochtenen VerfÃ¼gung zugrunde liegende BegrÃ¼ndung der Abweisung des Gesuches um EntschÃ¤digung nicht haltbar, ging der Beschwerdegegner doch davon aus, dass der BeschwerdefÃ¼hrer nach seiner Umschulung ein wesentlich hÃ¶heres Einkommen werde erzielen kÃ¶nnen als als Schreiner, weshalb auch der bereits angefallene Erwerbsausfall von Fr. 18'794.-- in knapp zwei Jahren ausgeglichen sein werde. Infolge dieses hypothetischen Mehrverdienstes werde der bereits angefallene Haushaltschaden innert drei Jahren kompensiert und der kÃ¼nftige Haushaltschaden ausgeglichen sein (vgl. Urk. 2 S. 7 ff.). Beides lÃ¤sst sich anhand der vorliegenden Unterlagen nicht ohne weitere AbklÃ¤rungen bestÃ¤tigen. Sofern die Lohnminderung mit der Straftat in Zusammenhang steht, wÃ¤re fÃ¼r die Berechnung des hypothetischen Invalideneinkommens auf die Daten der Schweizerischen Lohnstrukturerhebung (LSE) abzustellen, da der BeschwerdefÃ¼hrer in diesem Fall gerade nicht den statistischen Lohn eines Innenarchitekten erzielt. Sollte sich herausstellen, dass der vom BeschwerdefÃ¼hrer erzielte Lohn auf straftatfremde GrÃ¼nde zurÃ¼ckzufÃ¼hren ist, so wÃ¤re die Obliegenheit des GeschÃ¤digten zur Schadenminderung, welche auch dem Opferhilferecht zugrunde liegt, in die Schadensberechnung mit einzubeziehen, und dementsprechend auf die ODEC-Gehaltserhebung fÃ¼r Innenarchitekten abzustellen (zum Ganzen: Dorn/Geiser/Graf/Sousa-Poza: Die Berechnung des Erwerbsschadens, Bern 2007).</w:t>
      </w:r>
    </w:p>
    <w:p>
      <w:r>
        <w:t>5.5 Nicht berÃ¼cksichtigt wurde nach Lage der Akten auch die Frage, ob dem BeschwerdefÃ¼hrer infolge der sichtbaren Narben oder der beeintrÃ¤chtigten Arm- und Handfunktionen das wirtschaftliche Fortkommen erschwert wird. Wichtigster Anwendungsfall ist eine Benachteiligung auf dem fÃ¼r den GeschÃ¤digten in Betracht fallenden Arbeitsmarkt: Ein kÃ¶rperlich oder psychisch beeintrÃ¤chtigter Mensch hat nach dem gewÃ¶hnlichen Lauf der Dinge grÃ¶ssere MÃ¼he als ein Gesunder, eine Arbeit mit dem gleichen Lohn zu finden oder zu behalten, ebenso erscheint das Risiko einer Arbeitslosigkeit erhÃ¶ht oder kann eine selbstÃ¤ndige ErwerbstÃ¤tigkeit verunmÃ¶glicht sein (Bruno Schatzmann, Die Erschwerung des wirtschaftlichen Fortkommens, Bern 2001, S. 32 f.). Die EntschÃ¤digung wegen Erschwerung des wirtschaftlichen Fortkommens setzt einen wirtschaftlichen Nachteil fÃ¼r den Verletzten voraus (BGE 91 II 425), was im Falle des BeschwerdefÃ¼hrers noch abzuklÃ¤ren ist.</w:t>
      </w:r>
    </w:p>
    <w:p>
      <w:r>
        <w:t>Zusammenfassend ist festzuhalten, dass der zukÃ¼nftige Schaden ungenÃ¼gend abgeklÃ¤rt wurde. Es kann mithin nicht beurteilt werden, ob eine EntschÃ¤digung geschuldet ist und wie hoch diese ausfÃ¤llt. Damit fehlt es an der Grundlage fÃ¼r einen Entscheid.</w:t>
      </w:r>
    </w:p>
    <w:p>
      <w:r>
        <w:rPr>
          <w:b/>
        </w:rPr>
        <w:t>E. 6.1</w:t>
      </w:r>
    </w:p>
    <w:p>
      <w:r>
        <w:t>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rPr>
          <w:b/>
        </w:rPr>
        <w:t>E. 6.2</w:t>
      </w:r>
    </w:p>
    <w:p>
      <w:r>
        <w:t>Es ist angezeigt, die Sache an den Beschwerdegegner zurÃ¼ckzuweisen, damit er im Sinne der ErwÃ¤gungen den Sachverhalt ergÃ¤nze, den massgeblichen Schaden und die HÃ¶he der allfÃ¤lligen EntschÃ¤digung ermittle und hernach Ã¼ber den EntschÃ¤digungsanspruch des BeschwerdefÃ¼hrers erneut verfÃ¼ge. In diesem Sinne ist die Beschwerde gutzuheissen und die angefochtene VerfÃ¼gung in diesem Punkt aufzuheben.</w:t>
      </w:r>
    </w:p>
    <w:p>
      <w:r>
        <w:rPr>
          <w:b/>
        </w:rPr>
        <w:t>E. 7</w:t>
      </w:r>
    </w:p>
    <w:p>
      <w:r>
        <w:t>7.1Â Â Â Â Â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weshalb der vertretene BeschwerdefÃ¼hrer Anspruch auf eine ProzessentschÃ¤digung hat.Diese ist unter BerÃ¼cksichtigung der Bedeutung der Streitsache und der Schwierigkeit des Prozesses (Â§ 34 Abs. 3 GSVGer) und beim massgeblichen Stundenansatz von Fr. 200.-- (inkl. MWSt) auf Fr. 4'400.-- (inkl. Barauslagen und MWSt) festzulegen.</w:t>
      </w:r>
    </w:p>
    <w:p>
      <w:r>
        <w:t>Das Gericht erkennt:</w:t>
      </w:r>
    </w:p>
    <w:p>
      <w:r>
        <w:t>1.Â Â Â Â Â Â Â Â  Die Beschwerde wird in dem Sinne gutgeheissen, dass die angefochtene VerfÃ¼gung vom 5. November 2007 insoweit aufgehoben wird, als sie den Anspruch auf eine EntschÃ¤digung verneint, und es wird die Sache an die Direktion der Justiz des Kantons ZÃ¼rich, Kantonale Opferhilfestelle, zurÃ¼ckgewiesen, damit diese, nach erfolgter AbklÃ¤rung im Sinne der ErwÃ¤gungen, Ã¼ber den EntschÃ¤digungsanspruch neu verfÃ¼ge.</w:t>
      </w:r>
    </w:p>
    <w:p>
      <w:r>
        <w:t>2.Â Â Â Â Â Â Â Â  Das Verfahren ist kostenlos.</w:t>
      </w:r>
    </w:p>
    <w:p>
      <w:r>
        <w:t>3.Â Â Â Â Â Â Â Â  Der Beschwerdegegner wird verpflichtet, dem unentgeltlichen Rechtsvertreter des BeschwerdefÃ¼hrers, Rechtsanwalt Peter Fertig, ZÃ¼rich, eine ProzessentschÃ¤digung von Fr. 4'400.-- (inkl. Barauslagen und MWSt) zu bezahlen.</w:t>
      </w:r>
    </w:p>
    <w:p>
      <w:r>
        <w:t>4.Â Â Â Â Â Â Â Â  Zustellung gegen Empfangsschein an:</w:t>
      </w:r>
    </w:p>
    <w:p>
      <w:r>
        <w:t>- Rechtsanwalt Peter Fertig</w:t>
      </w:r>
    </w:p>
    <w:p>
      <w:r>
        <w:t>- Direktion der Justiz des Kantons ZÃ¼rich</w:t>
      </w:r>
    </w:p>
    <w:p>
      <w:r>
        <w:t>- EidgenÃ¶ssisches Justiz- und Polizeidepartement, Bundesamt fÃ¼r Justiz</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