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OH.2006.00014 vom 7. Januar 2008</w:t>
      </w:r>
    </w:p>
    <w:p>
      <w:r>
        <w:t>ZH Sozialversicherungsgericht, 2008-01-07, DE</w:t>
      </w:r>
    </w:p>
    <w:p>
      <w:r>
        <w:rPr>
          <w:b/>
        </w:rPr>
        <w:t xml:space="preserve">Quelle: </w:t>
      </w:r>
      <w:r>
        <w:t>https://mcp.opencaselaw.ch/entscheid/zh_sozialversicherungsgericht_OH.2006.00014</w:t>
      </w:r>
    </w:p>
    <w:p>
      <w:r>
        <w:t>FR: ZH_SOZIALVERSICHERUNGSGERICHT OH.2006.00014 du 7 janvier 2008</w:t>
      </w:r>
    </w:p>
    <w:p>
      <w:r>
        <w:t>IT: ZH_SOZIALVERSICHERUNGSGERICHT OH.2006.00014 del 7 gennaio 2008</w:t>
      </w:r>
    </w:p>
    <w:p>
      <w:pPr>
        <w:pStyle w:val="Heading2"/>
      </w:pPr>
      <w:r>
        <w:t>Erwägungen</w:t>
      </w:r>
    </w:p>
    <w:p>
      <w:r>
        <w:rPr>
          <w:b/>
        </w:rPr>
        <w:t>E. 3.1</w:t>
      </w:r>
    </w:p>
    <w:p>
      <w:r>
        <w:t>Von der Beschwerdegegnerin wird grundsÃ¤tzlich nicht bestritten, dass der BeschwerdefÃ¼hrer Opfer einer Straftat im Sinne von Art. 2 OHG wurde. Es kann deshalb davon ausgegangen werden, dass die Asbestexposition des BeschwerdefÃ¼hrers ein tatbestandsmÃ¤ssiges Verhalten darstellt (vgl. dazu die Rechtsprechung des Bundesgerichts im Zusammenhang mit dem italienischen Rechtshilfeersuchen betreffend fahrlÃ¤ssiger TÃ¶tung von asbesterkrankten italienischen Arbeitnehmern; Urteil vom 22. August 2003 in Sachen X. AG, 1A.9/2003). Diese Frage wÃ¤re zudem Gegenstand einer materiellen PrÃ¼fung der Anspruchsberechtigung des BeschwerdefÃ¼hrers. Vorliegend ist jedoch lediglich die Eintretensvoraussetzung der Anwendbarkeit des OHG zu prÃ¼fen.</w:t>
      </w:r>
    </w:p>
    <w:p>
      <w:r>
        <w:rPr>
          <w:b/>
        </w:rPr>
        <w:t>E. 3.2</w:t>
      </w:r>
    </w:p>
    <w:p>
      <w:r>
        <w:t>Aus dem Wortlaut von Art. 12 OHV ergibt sich, dass nur der Anspruch auf Hilfe der Beratungsstellen vom Zeitpunkt der Begehung der Straftat unabhÃ¤ngig ist (Art. 12 Abs. 1 OHV). Die Geltung sowohl der Bestimmungen Ã¼ber den Schutz und die Rechte des Opfers im Strafverfahren (Art. 5-10 OHG) wie auch diejenigen Ã¼ber die EntschÃ¤digung und Genugtuung (Art. 11-17 OHG) sind davon abhÃ¤ngig, ob die Verfahrenshandlungen beziehungsweise die Straftat nach dem Inkrafttreten des OHG, also nach dem 1. Januar 1993, erfolgten (Art. 12 Abs. 2-3 OHV).</w:t>
      </w:r>
    </w:p>
    <w:p>
      <w:r>
        <w:rPr>
          <w:b/>
        </w:rPr>
        <w:t>E. 3.3</w:t>
      </w:r>
    </w:p>
    <w:p>
      <w:r>
        <w:t>Es stellt sich jedoch die Frage, wie es sich verhÃ¤lt, wenn die Begehung und der Erfolg einer Straftat zeitlich weit auseinander fallen. Das Bundesgericht hat sich im Zusammenhang mit der Frage der Verwirkung von OpferhilfeansprÃ¼chen damit auseinandergesetzt (BGE 126 II 348): Dort ging es um eine Vergewaltigung, bei der das Opfer mit dem HI-Virus angesteckt wurde und vier Jahre spÃ¤ter an AIDS erkrankte. Es frage sich, ob die AIDS-Erkrankung nicht zumindest aus opferrechtlicher Sicht als massgebliches Auftreten einer Straftat im Sinne von Art. 16 Abs. 3 OHG anzusehen wÃ¤re, die die Verwirkungsfrist in Gang setze. FÃ¼r eine solche Betrachtungsweise spreche insbesondere der Umstand, dass das OHG bei der Frage nach dem Anspruch auf EntschÃ¤digung und Genugtuung auch auf den ÂErfolg der StraftatÂ abstelle (Art. 11 Abs. 2 OHG; BGE 126 II 348 Erw. 4a).</w:t>
      </w:r>
    </w:p>
    <w:p>
      <w:r>
        <w:t>Die wirksame Inanspruchnahme von Opferhilfe setze nach dem in Art. 5 Abs. 3 der Bundesverfassung verankerten Grundsatz von Treu und Glauben auch voraus, dass das Opfer Ã¼berhaupt Kenntnis davon erhÃ¤lt, dass es von einer schweren Straftat betroffen ist: Damit das Opfer das Vorliegen einer Straftat glaubhaft machen kÃ¶nne, mÃ¼sse es die massgebliche SchÃ¤digung erkannt haben kÃ¶nnen. Anders zu entscheiden hiesse, dem Sinn und Zweck des OHG zuwiderlaufende Anforderungen an die rechtzeitige Einreichung eines substantiierten Opferhilfegesuches zu stellen (BGE 126 II 348 Erw. 4b, 4c).</w:t>
      </w:r>
    </w:p>
    <w:p>
      <w:r>
        <w:rPr>
          <w:b/>
        </w:rPr>
        <w:t>E. 4.1</w:t>
      </w:r>
    </w:p>
    <w:p>
      <w:r>
        <w:t>In dem genannten BGE 126 II 348 wurde die Vergewaltigung, die fÃ¼r die AIDS-Erkrankung ursÃ¤chlich war, nach Inkrafttreten des OHG verÃ¼bt, so dass dessen Anwendbarkeit unbestritten war. Im vorliegenden Fall wurde jedoch die Straftat, deren Opfer der BeschwerdefÃ¼hrer wurde, im Zeitraum zwischen 1963 und 1967 und somit vor Inkrafttreten des OHG am 1. Januar 1993 begangen. Die genannte Rechtsprechung kann deshalb, wenngleich dies wÃ¼nschenswert wÃ¤re (vgl. dazu Zehntner, OHG-Kommentar, 2005, Art. 19 OHG N 6), nicht herangezogen werden.</w:t>
      </w:r>
    </w:p>
    <w:p>
      <w:r>
        <w:rPr>
          <w:b/>
        </w:rPr>
        <w:t>E. 4.2</w:t>
      </w:r>
    </w:p>
    <w:p>
      <w:r>
        <w:t>GemÃ¤ss Art. 12 Abs. 3 OHV gelten die Bestimmungen des OHG Ã¼ber die EntschÃ¤digung und die Genugtuung fÃ¼r Straftaten, die nach dem Inkrafttreten des OHG begangen wurden. Diese Formulierung ist eindeutig und lÃ¤sst keinen Raum fÃ¼r eine Erweiterung auf Straftaten, bei denen Begehung und Erfolg zeitlich auseinander fallen: Gerade weil im OHG auch auf den Erfolg einer Straftat abgestellt wird (vgl. Art. 11 Abs. 2 OHG, wonach bei Eintritt des Taterfolgs im Ausland das Opfer eine EntschÃ¤digung oder Genugtuung nur dann geltend machen kann, wenn es nicht von einem auslÃ¤ndischen Staat eine genÃ¼gende Leistung erhÃ¤lt) und somit die MÃ¶glichkeit des zeitlichen Auseinanderfallens von Tatbegehung und -erfolg vom Gesetzgeber berÃ¼cksichtigt wurde, muss bei Art. 12 Abs. 3 OHV von einer bewussten BeschrÃ¤nkung auf den Zeitpunkt der Tatbegehung ausgegangen werden. Dies folgt auch aus dem Umstand, dass im Gegensatz dazu gemÃ¤ss Abs. 1 der Ãbergangsbestimmungen von Art. 12 OHV die Opfer die Hilfe der Beratungsstellen unabhÃ¤ngig vom Zeitpunkt der Begehung der Straftat in Anspruch nehmen kÃ¶nnen. Damit wird zum Ausdruck gebracht, dass man bei weitergehenden AnsprÃ¼chen aus OHG eine klare zeitliche Grenze ziehen wollte.</w:t>
      </w:r>
    </w:p>
    <w:p>
      <w:r>
        <w:rPr>
          <w:b/>
        </w:rPr>
        <w:t>E. 4.3</w:t>
      </w:r>
    </w:p>
    <w:p>
      <w:r>
        <w:t>Auch in der Literatur wird - oft unter Hinweis auf die Problematik des zeitlichen Auseinanderfallens von Tatbegehung und Taterfolg - die Auffassung vertreten, dass opferhilferechtliche Genugtuungs- und EntschÃ¤digungsansprÃ¼che nur geltend gemacht werden kÃ¶nnen, wenn die Straftat nach Inkrafttreten des OHG begangen wurde (vgl. Gomm/Stein/Zehntner, Opferhilfegesetz, 1995, Art. 19 N 5; Zehntner, OHG-Kommentar, 2005, Art. 19 OHG N 6; Eva Weishaupt, Die verfahrensrechtlichen Bestimmungen des Opferhilfegesetzes, ZÃ¼rcher Studien zum Strafrecht, S. 55 f.; Thomas HÃ¤berli, Das Opferhilferecht unter BerÃ¼cksichtigung der Praxis des Bundesgerichts, ZBJV 138 2002 S. 367).</w:t>
      </w:r>
    </w:p>
    <w:p>
      <w:r>
        <w:t>5.Â Â Â Â Â Â Â Â  Aufgrund des Gesagten ist die Anwendbarkeit des OHG auf den vorliegenden Fall zu verneinen. Der angefochtene Nichteintretensentscheid erweist sich somit als rechtens. Dies fÃ¼hrt zur Abweisung der Beschwerde.</w:t>
      </w:r>
    </w:p>
    <w:p>
      <w:r>
        <w:t>6.Â Â Â Â Â Â  Eine Minderheit des Gerichts hat ihre abweichende Meinung zu Protokoll gegeben (Â§ 12 des Gesetzes Ã¼ber das Sozialversicherungsgericht in Verbindung mit Art. 138 Abs. 4 des Gerichtsverfassungsgesetzes).</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Massimo Aliotta, unter Beilage einer Kopie von Seite 4 des Protokolls</w:t>
      </w:r>
    </w:p>
    <w:p>
      <w:r>
        <w:t>- Direktion der Justiz des Kantons ZÃ¼rich, unter Beilage einer Kopie von Seite 4 des Protokolls</w:t>
      </w:r>
    </w:p>
    <w:p>
      <w:r>
        <w:t>- EidgenÃ¶ssisches Justiz- und Polizeidepartement, Bundesamt fÃ¼r Justiz</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t>Â 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