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OH.2005.00002 vom 13. September 2005</w:t>
      </w:r>
    </w:p>
    <w:p>
      <w:r>
        <w:t>ZH Sozialversicherungsgericht, 2005-09-13, DE</w:t>
      </w:r>
    </w:p>
    <w:p>
      <w:r>
        <w:rPr>
          <w:b/>
        </w:rPr>
        <w:t xml:space="preserve">Quelle: </w:t>
      </w:r>
      <w:r>
        <w:t>https://mcp.opencaselaw.ch/entscheid/zh_sozialversicherungsgericht_OH.2005.00002</w:t>
      </w:r>
    </w:p>
    <w:p>
      <w:r>
        <w:t>FR: ZH_SOZIALVERSICHERUNGSGERICHT OH.2005.00002 du 13 septembre 2005</w:t>
      </w:r>
    </w:p>
    <w:p>
      <w:r>
        <w:t>IT: ZH_SOZIALVERSICHERUNGSGERICHT OH.2005.00002 del 13 settembre 2005</w:t>
      </w:r>
    </w:p>
    <w:p>
      <w:pPr>
        <w:pStyle w:val="Heading2"/>
      </w:pPr>
      <w:r>
        <w:t>Erwägungen</w:t>
      </w:r>
    </w:p>
    <w:p>
      <w:r>
        <w:rPr>
          <w:b/>
        </w:rPr>
        <w:t>E. 2</w:t>
      </w:r>
    </w:p>
    <w:p>
      <w:r>
        <w:t>Â Â Â Â Â  Frau A.___ von der Opferhilfeberatungsstelle Castagna teilte am 13. Oktober 2004 der Kantonspolizei ZÃ¼rich mit, dass die BeschwerdefÃ¼hrerin 1 gegen ihren Vater Anzeige erstatten mÃ¶chte. Der Vater habe sie vor zirka 4 Jahren ein Jahr lang sexuell missbraucht. Bis vor kurzem habe sie nicht gewusst, dass auch ihre beiden Schwestern (BeschwerdefÃ¼hrerin 2 und BeschwerdefÃ¼hrerin 3) vermutlich ebenfalls vom Vater missbraucht worden seien. Der Vater habe sich vor zirka einem Jahr der Mutter offenbart und die Mutter wolle eigentlich nicht, dass die BeschwerdefÃ¼hrerin 1 in dieser Angelegenheit etwas unternehme. Die Eltern seien zur Zeit mit den Kindern in den Ferien und wÃ¼rden gegen Samstag, den 16. Oktober 2004, heimkehren. Die BeschwerdefÃ¼hrerin 1 gehe heute abend ins MÃ¤dchenhaus und bleibe dort bis Sonntag, den 17. Oktober 2004. Dann mÃ¼sse sie wieder nach Hause, da sie am Montag in die Lehrausbildung mÃ¼sse. Den Eltern gegenÃ¼ber habe die BeschwerdefÃ¼hrerin 1 erklÃ¤rt, sie gehe bis Sonntag ins Tessin (vgl. Urk. 3/1/1).</w:t>
      </w:r>
    </w:p>
    <w:p>
      <w:r>
        <w:t>Â Â Â Â Â Â Â Â  Daraufhin informierte die Kantonspolizei ZÃ¼rich die VormundschaftsbehÃ¶rde Illnau-Effretikon am 14. Oktober 2004 Ã¼ber den Inhalt des Anrufs von Frau A.___ und teilte mit, dass wegen Verdachts auf Vornahme sexueller Handlungen durch den Vater zum Nachteil der BeschwerdefÃ¼hrerinnen die Kindeseltern am 18. Oktober 2004 verhaftet und in Untersuchungshaft genommen wÃ¼rden (Urk. 3/1/2 = Urk. 7/9/1, Urk. 3/2).</w:t>
      </w:r>
    </w:p>
    <w:p>
      <w:r>
        <w:t>Â Â Â Â Â Â Â Â  Die VormundschaftsbehÃ¶rde Illnau-Effretikon ordnete am 15. Oktober 2004 folgende vorsorgliche vormundschaftliche Massnahmen an: Errichtung einer Beistandschaft im Sinne von Art. 308 des Zivilgesetzbuches (ZGB), Entzug der elterlichen Obhut der Eltern, Wegnahme von den Eltern und Fremdplatzierung im Sinne von Art. 310 ZGB, VorlÃ¤ufige BestÃ¤tigung des Aufenthaltes der BeschwerdefÃ¼hrerin 1 im MÃ¤dchenhaus ZÃ¼rich (Urk. 3/3 = Urk. 7/9/2).</w:t>
      </w:r>
    </w:p>
    <w:p>
      <w:r>
        <w:t>Â Â Â Â Â Â Â Â  Am 18. Oktober 2004 erfolgte die Fremdplatzierung der BeschwerdefÃ¼hrerin 2 und der BeschwerdefÃ¼hrerin 3. Mit PrÃ¤sidialverfÃ¼gung vom 20. Oktober 2004 wurde in ErgÃ¤nzung der bereits bestehenden vormundschaftlichen Massnahmen nach Art. 308 und Art. 310 ZGB und dem Entzug der elterlichen Obhut der Eltern die BeschwerdefÃ¼hrerin 1 ins MÃ¤dchenhaus ZÃ¼rich, die BeschwerdefÃ¼hrerin 2 ins Kinder- und Jugendheim Riesbach, ZÃ¼rich, und die BeschwerdefÃ¼hrerin 3 ins Durchgangsheim Florhof, ZÃ¼rich, im Sinne von Art. 310 und Art. 314a ZGB (fÃ¼rsorgerischer Freiheitsentzug) eingewiesen (Urk. 3/6 = Urk. 7/9/3).</w:t>
      </w:r>
    </w:p>
    <w:p>
      <w:r>
        <w:t>Â Â Â Â Â Â Â Â  Aktenkundig ist, dass die BeschwerdefÃ¼hrerin 1 am 1. Dezember 2004 aus dem MÃ¤dchenhaus ausgetreten ist, die BeschwerdefÃ¼hrerin 2 bis 23. Oktober 2004 und die BeschwerdefÃ¼hrerin 3 bis 26. Oktober 2004 fremdplatziert war (Urk. 3/16 = Urk. 7/9).</w:t>
      </w:r>
    </w:p>
    <w:p>
      <w:r>
        <w:t>Â Â Â Â Â Â Â Â  Die BeschwerdefÃ¼hrerinnen mÃ¶chten mit ihrer Beschwerde erreichen, dass die Opferhilfe die Heimkosten Ã¼bernimmt.</w:t>
      </w:r>
    </w:p>
    <w:p>
      <w:r>
        <w:rPr>
          <w:b/>
        </w:rPr>
        <w:t>E. 3</w:t>
      </w:r>
    </w:p>
    <w:p>
      <w:r>
        <w:t>Â Â Â Â Â  Betreuungskosten kÃ¶nnen unter zwei Arten des Opferhilfeangebots fallen: Zum einen kann sich die Frage im Rahmen der Beratungshilfe nach Art. 3 OHG stellen; sind die Voraussetzungen fÃ¼r eine Hilfeleistung gegeben, beurteilt sich eine KostenÃ¼bernahme nach Abs. 4 der genannten Bestimmung. Andererseits kÃ¶nnen Betreuungskosten als Aufwendungen zur Schadensbehebung in Betracht fallen; wird mit dem KostenÃ¼bernahmebegehren eine Schadenersatzleistung bezweckt, handelt es sich um ein EntschÃ¤digungsbegehren im Sinn von Art. 12 Abs. 1 OHG. Beide AnsprÃ¼che kÃ¶nnen unabhÃ¤ngig voneinander geltend gemacht werden. Die berechtigte Person hat die Wahl zu treffen, in welchem Sinn sie Opferhilfe beanspruchen will. Ob vorliegend ein Anspruch nach Art. 3 Abs. 4 OHG oder nach Art. 12 Abs. 1 OHG oder nach beiden Bestimmungen zur Diskussion steht, hÃ¤ngt von den Begehren ab, welche die BeschwerdefÃ¼hrerinnen gestellt und in ihren Eingaben begrÃ¼ndet haben.</w:t>
      </w:r>
    </w:p>
    <w:p>
      <w:r>
        <w:t>Â Â Â Â Â Â Â Â  Mit ihrem KostenÃ¼bernahmebegehren beanspruchen die BeschwerdefÃ¼hrerinnen ausschliesslich eine Hilfeleistung im Sinn von Art. 3 OHG, was insbesondere aus der Beschwerde vom 23. Februar 2005 hervorgeht, wo gestÃ¼tzt auf Â§ 3 (richtig: Art.) OHG auf die Aufgabe der kantonalen Opferhilfestelle und ihrer anerkannten Beratungsstellen auf Erteilung einer Kostengutsprachen fÃ¼r notwendige Fremdplatzierungen fÃ¼r Opfer von Gewaltdelikten hingewiesen wird (Urk. 1 S. 2).</w:t>
      </w:r>
    </w:p>
    <w:p>
      <w:r>
        <w:rPr>
          <w:b/>
        </w:rPr>
        <w:t>E. 4</w:t>
      </w:r>
    </w:p>
    <w:p>
      <w:r>
        <w:t>4.1Â Â Â Â  Muss ein Opfer infolge der Straftat in einer geeigneten Institution betreut werden, so wird die Beratungsstelle diese Aufgabe in der Regel nicht selber wahrnehmen kÃ¶nnen, sondern Dritthilfe vermitteln und - sofern die Voraussetzungen fÃ¼r eine Kostentragung gemÃ¤ss Art. 3 Abs. 4 OHG gegeben sind - Kostengutsprache leisten. Im vorliegenden Fall hat die Beratungsstelle Castagna den Aufenthalt der BeschwerdefÃ¼hrerin 1 ab 13. Oktober 2004 im MÃ¤dchenhaus organisiert. Die Fremdplatzierung der BeschwerdefÃ¼hrerin 2 und der BeschwerdefÃ¼hrerin 3 ab 18. Oktober 2004 erfolgte hingegen durch die VormundschaftsbehÃ¶rde (vgl. Urk. 7/9/2). Die Fremdplatzierungen der drei BeschwerdefÃ¼hrerinnen wurde am 20. Oktober 2004 sodann als vormundschaftliche Massnahme angeordnet (vgl. Urk. 7/9/3). FÃ¼r die Kosten hatte die FÃ¼rsorgebehÃ¶rde Illnau-Effretikon Kostengutsprache zu leisten (vgl. Urk. 3/5, Urk. 3/10 = Urk. 7/9/4, Urk. 3/11, Urk. 3/15). Diese Massnahmen sind ohne Mithilfe der Opferhilfestellen zustande gekommen. Opferhilfemassnahmen standen in jenem Zeitpunkt nicht zur Diskussion: Es wurde keine Kostengutsprache im Sinne von Art. 3 Abs. 4 OHG erteilt.</w:t>
      </w:r>
    </w:p>
    <w:p>
      <w:r>
        <w:t>4.2Â Â Â Â  Die Leistungen aus dem OHG haben in besonderem Masse subsidiÃ¤ren Charakter. Die Botschaft zum Gegenvorschlag der Volksinitiative betreffend Opferhilfe betonte die subsidiÃ¤re Natur der staatlichen (finanziellen) Hilfe und bekrÃ¤ftigte in allgemeiner Weise, der Staat mÃ¼sse Ã¼ber die Opferhilfe nur eingreifen, wenn das Opfer nicht von anderer Seite Hilfe erfÃ¤hrt (BBl 1983 III 892 und 896); es gelte Notlagen zu verhindern und Hilfe zu gewÃ¤hren, bis das Opfer wieder auf eigenen FÃ¼ssen stehen kann (BBl 1983 III 895). EntschÃ¤digungen durch den Staat sollen die Ausnahme bilden und gegenÃ¼ber andern, dem Opfer zustehenden EntschÃ¤digungsmÃ¶glichkeiten subsidiÃ¤r bleiben (Botschaft zum OHG, BBl 1990 II 976). Der Hilfscharakter der Opferhilfe kommt auch in Art. 1 OHG zum Ausdruck (vgl. zum Ganzen BGE 126 II 237 Erw. 6 S. 244 ff., 125 II 230 Erw. 3b S. 235).</w:t>
      </w:r>
    </w:p>
    <w:p>
      <w:r>
        <w:t>Â Â Â Â Â Â Â Â  DemgegenÃ¼ber ist auch die Sozialhilfe subsidiÃ¤rer Natur. Sie bezweckt, Notlagen zu beheben (Â§ 1 Abs. 1 des Gesetzes Ã¼ber die Ã¶ffentliche Sozialhilfe; Sozialhilfegesetz, SHG). Die Hilfe richtet sich in Art und Mass nach den BedÃ¼rfnissen des Hilfesuchenden (Â§ 2 Abs. 1 SHG). Die Sozialhilfe ist zu gewÃ¤hren, sofern Hilfe nicht rechtzeitig auf andere Weise geleistet wird und solange sie als geboten erscheint (Â§ 3 SHG).</w:t>
      </w:r>
    </w:p>
    <w:p>
      <w:r>
        <w:t>Â Â Â Â Â Â Â Â  Es stehen sich demnach die je subsidiÃ¤re Sozialhilfe und Opferhilfe gegenÃ¼ber: UnterstÃ¼tzung wird in jedem Bereich nur gewÃ¤hrt, soweit Hilfe nicht anderweitig geleistet wird. Bei dieser Rechtslage fÃ¤llt es nicht leicht, abstrakt zu bestimmen, welche Hilfe der anderen vorgeht. Es ist daher in erster Linie auf die konkreten UmstÃ¤nde abzustellen (Pra 2001 S. 660).</w:t>
      </w:r>
    </w:p>
    <w:p>
      <w:r>
        <w:t>4.3Â Â Â Â  Im vorliegenden Fall ist gegenÃ¼ber den BeschwerdefÃ¼hrerinnen von Seiten der FÃ¼rsorgebehÃ¶rde tatsÃ¤chlich Hilfe geleistet worden. Die Notlage der BeschwerdefÃ¼hrerinnen ist mit den angeordneten Massnahmen behoben worden und die Ãbernahme der Kosten durch die FÃ¼rsorgebehÃ¶rde ist garantiert (vgl. vorstehend Erw. 4.1). Die angeordneten Massnahmen haben demnach einen hinreichenden Schutz bewirkt. Es besteht daher kein BedÃ¼rfnis fÃ¼r eine nachtrÃ¤gliche UnterstÃ¼tzung durch Anordnung von Opferhilfe. Es kann auch nicht der Zweck des Opferhilfegesetzes sein, nachtrÃ¤glich die Leistungen der Sozialhilfe zurÃ¼ckzudrÃ¤ngen (BGE 125 II 230 Erw. 3d S. 236 ff.).</w:t>
      </w:r>
    </w:p>
    <w:p>
      <w:r>
        <w:t>Â Â Â Â Â Â Â Â  Dieser Schluss drÃ¤ngt sich im vorliegenden Fall auch deshalb auf, weil die Opferhilfestellen an den entsprechenden Massnahmen nicht beteiligt waren. Vielmehr erfolgte die Fremdplatzierung mittels fÃ¼rsorgerischen Freiheitsentzugs. Ein fÃ¼rsorgerischer Freiheitsentzug ist nur zulÃ¤ssig, wenn die nÃ¶tige persÃ¶nliche FÃ¼rsorge anders nicht erwiesen werden kann, was eine spezifische kindesrechtliche GefÃ¤hrdungslage voraussetzt. Die Kindesschutzmassnahmen werden von der vormundschaftlichen BehÃ¶rden angeordnet (Art. 315 Abs. 1 ZGB).</w:t>
      </w:r>
    </w:p>
    <w:p>
      <w:r>
        <w:t>Â Â Â Â Â Â Â Â  Wie der Beschwerdegegner sodann zu Recht festhielt, mussten die BeschwerdefÃ¼hrerinnen zunÃ¤chst deshalb fremdplatziert werden, weil ihre Eltern verhaftet wurden und davon auszugehen war, dass sie fÃ¼r einige Tage nicht betreut gewesen wÃ¤ren (vgl. Urk. 7/9/1, Urk. 7/9/2). Der Grund fÃ¼r die WeiterfÃ¼hrung der kindesschutzrechtlichen Massnahme nach Entlassung der Mutter aus der Haft bestand in der Kollusionsgefahr. Dass es bei der Fremdplatzierung zunÃ¤chst um die Sicherstellung und Betreuung ging, geht auch daraus hervor, dass auch die zwei SÃ¶hne fremdplatziert werden mussten, was nach der Entlassung der Mutter aus der Untersuchungshaft nicht mehr notwendig war. Die Fremdplatzierung wurde zur Sicherstellung der Kontaktsperre aufrechterhalten und folgerichtig mit deren Wegfall aufgehoben (vgl. Urk. 7/9/5-6). Die Folgen der Straftat bildeten daher nur eine Teilursache fÃ¼r die Heimeinweisung. Es ist somit davon auszugehen, dass die Folgen der Straftat fÃ¼r die Anordnung und Beibehaltung der Massnahme nicht allein entscheidend waren, obwohl die Heimbetreuung den BeschwerdefÃ¼hrerinnen sicherlich auch ermÃ¶glichen sollte, die unmittelbaren Folgen der Straftat zu bewÃ¤ltigen. Vor diesem Hintergrund weist die Massnahme in sachlicher Hinsicht sowohl eine kindes- als auch eine opferschutzrechtliche Komponente auf; insofern Ã¼berschneidet sich die Zielsetzung des Kindesschutzes mit derjenigen des Opferschutzes. Im Rahmen einer Gesamtbeurteilung kommt den Folgen der Straftat jedoch kein derartiges ursÃ¤chliches Gewicht zu, dass man sagen kÃ¶nnte, der kindesschutzrechtliche Charakter der Massnahme werde in den Hintergrund gedrÃ¤ngt. Dies schliesst es aus, den allfÃ¤lligen Vorrang der Opferhilfe mit dem Zweck der Massnahme zu begrÃ¼nden.</w:t>
      </w:r>
    </w:p>
    <w:p>
      <w:r>
        <w:t>4.4Â Â Â Â  Nach Art. 1 Abs. 1 OHG soll den Opfern von Straftaten wirksame Hilfe geleistet und ihre Rechtsstellung verbessert werden. Soweit wirksame Hilfe durch andere Institutionen geleistet wird, kann es nicht dem Zweck des Opferhilfegesetzes entsprechen, diese Leistungen zurÃ¼ckzudrÃ¤ngen. Bewirken die angeordneten Massnahmen des familienrechtlichen Kindesschutzes einen hinreichenden Schutz im Sinn des Opferhilfegesetzes, besteht grundsÃ¤tzlich keine Notwendigkeit fÃ¼r eine nachtrÃ¤gliche Betreuungshilfe seitens der Beratungsstelle. Dies bedeutet fÃ¼r den vorliegenden Fall, dass - wie schon gesagt - die angeordnete kindesschutzrechtliche Heimeinweisung Betreuungshilfe durch die Beratungsstelle Ã¼berflÃ¼ssig machte. Insofern fehlt die Grundlage fÃ¼r eine Kostentragung durch die Opferhilfe, wie sie sonst besteht, wenn die Beratungsstelle im Rahmen der Soforthilfe und der weiteren Hilfe Betreuungsleistungen vermittelt hat (BGE 125 II Erw. 3d).</w:t>
      </w:r>
    </w:p>
    <w:p>
      <w:r>
        <w:t>4.5Â Â Â Â  Es kann auch nicht gesagt werden, dass materielle Hilfe seitens der Beratungsstelle nÃ¶tig sei, um die unbestrittenermassen gebotene Fremdplatzierung sicherzustellen. Die Finanzierung des Heimaufenthaltes ist auch dann gewÃ¤hrleistet, wenn es sich nicht um Opferhilfe handelt. In diesem Fall finden die GrundsÃ¤tze des kantonalen Sozialhilfegesetzes Anwendung.</w:t>
      </w:r>
    </w:p>
    <w:p>
      <w:r>
        <w:t>Â Â Â Â Â Â Â Â  Nach Â§ 27 Abs. 3 SHG muss wirtschaftliche Hilfe, die jemand fÃ¼r sich selbst wÃ¤hrend seiner UnmÃ¼ndigkeit oder bis zum Abschluss einer in dieser Zeit begonnenen Ausbildung bezogen hat, nicht zurÃ¼ckerstatten. GegenÃ¼ber den BeschwerdefÃ¼hrerinnen besteht demnach kein RÃ¼ckerstattungsanspruch. Ein RÃ¼ckerstattungsanspruch besteht allenfalls gegenÃ¼ber den Eltern (Â§ 27 Abs. 1 lit. c in Verbindung mit Â§ 20 SHG). Die MÃ¶glichkeit eines sozialhilferechtlichen RÃ¼ckerstattungsanspruchs gegenÃ¼ber den Eltern der BeschwerdefÃ¼hrerinnen rechtfertigt um so weniger eine Kostentragung durch die Opferhilfe, denn es kann nicht angehen, dass opferrechtliche Leistungen die unterhaltspflichtigen Eltern entlasten.</w:t>
      </w:r>
    </w:p>
    <w:p>
      <w:r>
        <w:t>4.6Â Â Â Â  Der mit Replik vom 18. Mai 2005 gestellte Antrag auf Ãbernahme der Kosten fÃ¼r den neuerlichen Aufenthalt der BeschwerdefÃ¼hrerin 1 im MÃ¤dchenhaus ZÃ¼rich ab 23. MÃ¤rz 2005 ist nicht Gegenstand des vorliegenden Verfahrens. Es ist somit zunÃ¤chst ein EntschÃ¤digungsgesuch bei der Beschwerdegegnerin zu stellen. Nach dem Gesagten dÃ¼rfte die Ãbernahme der Kosten durch die Opferhilfestelle allerdings fraglich sein.</w:t>
      </w:r>
    </w:p>
    <w:p>
      <w:r>
        <w:t>4.7Â Â Â Â  Die angefochtene VerfÃ¼gung vom 2. Februar 2005 erweist sich als rechtens, womit die Beschwerde abzuweisen ist.</w:t>
      </w:r>
    </w:p>
    <w:p>
      <w:r>
        <w:t>Das Gericht erkennt:</w:t>
      </w:r>
    </w:p>
    <w:p>
      <w:r>
        <w:t>1.Â Â Â Â Â Â Â Â  Die Beschwerde wird abgeweisen.</w:t>
      </w:r>
    </w:p>
    <w:p>
      <w:r>
        <w:t>2.Â Â Â Â Â Â Â Â  Das Verfahren ist kostenlos.</w:t>
      </w:r>
    </w:p>
    <w:p>
      <w:r>
        <w:t>3.Â Â Â Â Â Â Â Â  Zustellung gegen Empfangsschein an:</w:t>
      </w:r>
    </w:p>
    <w:p>
      <w:r>
        <w:t>- Jugendsekretariat Effretikon</w:t>
      </w:r>
    </w:p>
    <w:p>
      <w:r>
        <w:t>- Direktion der Justiz des Kantons ZÃ¼rich</w:t>
      </w:r>
    </w:p>
    <w:p>
      <w:r>
        <w:t>- EidgenÃ¶ssisches Justiz- und Polizeidepartement, Bundesamt fÃ¼r Justiz</w:t>
      </w:r>
    </w:p>
    <w:p>
      <w:r>
        <w:t>4.Â Â Â Â Â Â Â Â  Gegen diesen Entscheid kann innert 30 Tagen seit der Zustellung beim Schweizerischen Bundesgericht Verwaltungsgerichtsbeschwerde eingereicht werden.</w:t>
      </w:r>
    </w:p>
    <w:p>
      <w:r>
        <w:t>Die Beschwerdeschrift ist dem Schweizerischen Bundesgericht, Avenue Tribunal FÃ©dÃ©ral 29, 1000 Lausanne 14,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