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OH.2004.00015 vom 18. August 2005</w:t>
      </w:r>
    </w:p>
    <w:p>
      <w:r>
        <w:t>ZH Sozialversicherungsgericht, 2005-08-18, DE</w:t>
      </w:r>
    </w:p>
    <w:p>
      <w:r>
        <w:rPr>
          <w:b/>
        </w:rPr>
        <w:t xml:space="preserve">Quelle: </w:t>
      </w:r>
      <w:r>
        <w:t>https://mcp.opencaselaw.ch/entscheid/zh_sozialversicherungsgericht_OH.2004.00015</w:t>
      </w:r>
    </w:p>
    <w:p>
      <w:r>
        <w:t>FR: ZH_SOZIALVERSICHERUNGSGERICHT OH.2004.00015 du 18 août 2005</w:t>
      </w:r>
    </w:p>
    <w:p>
      <w:r>
        <w:t>IT: ZH_SOZIALVERSICHERUNGSGERICHT OH.2004.00015 del 18 agosto 2005</w:t>
      </w:r>
    </w:p>
    <w:p>
      <w:pPr>
        <w:pStyle w:val="Heading2"/>
      </w:pPr>
      <w:r>
        <w:t>Erwägungen</w:t>
      </w:r>
    </w:p>
    <w:p>
      <w:r>
        <w:rPr>
          <w:b/>
        </w:rPr>
        <w:t>E. 2</w:t>
      </w:r>
    </w:p>
    <w:p>
      <w:r>
        <w:t>2.1Â Â Â Â  Zu prÃ¼fen ist sodann der Genugtuungsanspruch des BeschwerdefÃ¼hrers.</w:t>
      </w:r>
    </w:p>
    <w:p>
      <w:r>
        <w:t>2.2Â Â Â Â  GemÃ¤ss Art. 12 Abs. 2 OHG kann dem Opfer unabhÃ¤ngig von seinem Einkommen eine Genugtuung ausgerichtet werden, wenn es schwer betroffen ist und besondere UmstÃ¤nde es rechtfertigen.</w:t>
      </w:r>
    </w:p>
    <w:p>
      <w:r>
        <w:t>Â Â Â Â Â Â Â Â  Das Opferhilfegesetz enthÃ¤lt keine Bestimmungen Ã¼ber die Bemessung der Genugtuung gemÃ¤ss Art. 12 OHG. Diese Leistungen unterscheiden sich in ihrer Rechtsnatur von den zivilrechtlichen AnsprÃ¼chen gemÃ¤ss Art. 47 des Obligationenrechtes (OR). Nach Rechtsprechung und Lehre sind jedoch im Bereich der Opferhilfe die von den Zivilgerichten entwickelten GrundsÃ¤tze zur Bemessung der Genugtuung sinngemÃ¤ss heranzuziehen (BGE 125 II 555 f. Erw. 2a, BGE 123 II 214 Erw. 3b, je mit weiteren Hinweisen; Gomm/Stein/Zehntner, Kommentar zum Opferhilfegesetz, Bern 1995, N 19 und N 28 zu Art. 12). Dabei ist allerdings zu beachten, dass es sich bei der opferrechtlichen Genugtuung um eine staatliche Leistung handelt. Das EntschÃ¤digungs- und Genugtuungssystem entspringt dem Gedanken der Hilfeleistung, nicht der Staatshaftung (BGE 125 II 555 f. Erw. 2a, mit weiteren Hinweisen).</w:t>
      </w:r>
    </w:p>
    <w:p>
      <w:r>
        <w:t>Â Â Â Â Â Â Â Â  Nach Art. 47 OR kann das Gericht bei TÃ¶tung eines Menschen oder KÃ¶rperverletzung unter WÃ¼rdigung der besonderen UmstÃ¤nde dem Verletzten oder den AngehÃ¶rigen des GetÃ¶teten eine angemessene Geldsumme als Genugtuung zusprechen. Die Genugtuung bezweckt ausschliesslich eine finanzielle Abgeltung fÃ¼r erlittene Unbill, indem das Wohlbefinden anderweitig gesteigert wird oder dessen BeeintrÃ¤chtigung ertrÃ¤glicher gemacht wird. Durch die Geldleistung soll ein gewisser Ausgleich geschaffen werden fÃ¼r den erlittenen physischen und/oder seelischen Schmerz (Brehm, Berner Kommentar, N 9 zu Art. 47 OR, Bern 1998, mit weiteren Hinweisen). Die Festlegung der HÃ¶he der Genugtuung beruht auf richterlichem Ermessen. Bemessungskriterien der Genugtuung sind vor allem die Art und Schwere der Verletzung, die IntensitÃ¤t und Dauer der Auswirkungen auf die PersÃ¶nlichkeit des Betroffenen sowie der Grad des Verschuldens des SchÃ¤digers (BGE 125 III 417 Erw. 2a). Bei KÃ¶rperverletzungen gehÃ¶ren etwa zu den besonderen UmstÃ¤nden - nebst der Schwere der Verletzung - eine InvaliditÃ¤t sowie erlittene physische Schmerzen, ein langer Spitalaufenthalt, die ZerstÃ¶rung der beruflichen TÃ¤tigkeit, reduzierte Lebensfreude, psychische StÃ¶rungen, ein kosmetischer Schaden, eine StÃ¶rung der sexuellen Funktionen und eine verkÃ¼rzte Lebenserwartung (Brehm, a.a.O., N 161 ff. zu Art. 47 OR).Â</w:t>
      </w:r>
    </w:p>
    <w:p>
      <w:r>
        <w:t>Â Â Â Â Â Â Â Â  FÃ¼r die Festsetzung der Genugtuungssummen kann kein Tarif aufgestellt werden, sondern es ist auf die gesamten UmstÃ¤nde abzustellen, die von Fall zu Fall verschieden sind. Dies bedeutet jedoch nicht, dass PrÃ¤judizien nicht beigezogen werden dÃ¼rften. Denn es ist sowohl fÃ¼r die Rechtssicherheit wie fÃ¼r die Rechtsgleichheit notwendig, dass fÃ¼r etwa gleiche oder Ã¤hnliche FÃ¤lle eine einheitliche Beurteilung angestrebt wird. Dabei dienen einschlÃ¤gige PrÃ¤judizien als Richtschnur oder Anhaltspunkt fÃ¼r den Vergleich mit neuen FÃ¤llen (Brehm, a.a.O., N 62 f. zu Art. 47 OR, mit weiteren Hinweisen).</w:t>
      </w:r>
    </w:p>
    <w:p>
      <w:r>
        <w:t>Â Â Â Â Â Â Â Â  Im Rahmen von AnsprÃ¼chen gegen den Staat ist Ã¼berdies den Grundprinzipien des Verwaltungsrechts (unter anderem dem Gebot der Rechtsgleichheit gemÃ¤ss Art. 8 der Bundesverfassung), die jedem staatlichen Handeln zugrunde liegen mÃ¼ssen, Rechnung zu tragen. Das Gleichbehandlungsgebot verlangt, dass gleiche TatbestÃ¤nde gleich und ungleiche TatbestÃ¤nde verschieden behandelt werden.</w:t>
      </w:r>
    </w:p>
    <w:p>
      <w:r>
        <w:t>2.3Â Â Â Â  Zum Ereignis vom 20. Dezember 2003 ist aktenkundig, dass der BeschwerdefÃ¼hrer gemÃ¤ss eigener Schilderung um etwa 00.45 Uhr den letzten Zug nach Hause verpasst hatte. Um sich die Zeit ein wenig zu vertreiben, hatte er sich ins Restaurant "G.___" begeben, wo er alkoholhaltige GetrÃ¤nke, vermutlich Wein, zu sich nahm. Um 03.30 oder 04.00 Uhr habe er das Restaurant verlassen, vermutlich um via H.___ zum Hauptbahnhof zu gehen. Dann wisse er nicht mehr, was geschehen sei (Urk. 2/7/10/2/6 S. 3 f.= Urk. 2/7/10/4 S. 3 f.). Der Zeuge, welcher aus seiner Wohnung das Geschehen verfolgte, berichtete, dass auf der Strasse eine SchlÃ¤gerei stattgefunden habe. Ein jÃ¼ngerer Mann habe einem etwas Ã¤lteren Mann (dem BeschwerdefÃ¼hrer) einen heftigen Schlag versetzt, worauf dieser zu Boden gefallen sei. Als der jÃ¼ngere Mann nicht aufgehÃ¶rt habe, auf den Verletzten einzutreten, sei er, der Zeuge, ihm zu Hilfe geeilt. Der Zeuge bot in der Folge auch die SanitÃ¤t auf, welche den stark alkoholisierten BeschwerdefÃ¼hrer aufnahm (Urk. 2/7/10/2/4 S. 3 f.).</w:t>
      </w:r>
    </w:p>
    <w:p>
      <w:r>
        <w:t>Â Â Â Â Â Â Â Â  Wie ausgefÃ¼hrt (vorstehende Erw. 1.4) erlitt der BeschwerdefÃ¼hrer infolge des Ereignisses vom 20. Dezember 1998 eine erstgradig offene UnterschenkeltrÃ¼mmerfraktur rechts, eine distale Scaphoidfraktur links und eine undislozierte Nasenbeinfraktur sowie eine GehirnerschÃ¼tterung. Die Unterschenkelfraktur wurde am 22. Dezember 1998 mit einem Solidmarknagel versorgt, die Handgelenksfraktur mit einem Gips behandelt. Der BeschwerdefÃ¼hrer war bis am 4. Januar 1999, somit fÃ¼r rund zwei Wochen, hospitalisiert, anschliessend benÃ¶tigte er wÃ¤hrend sechs Wochen zwei GehstÃ¶cke. Bis zum 15. MÃ¤rz 1999 war er arbeitsunfÃ¤hig; ab Ende MÃ¤rz wurde er gemÃ¤ss Angaben der Krankenversicherung bis Ende August 1999 ambulant behandelt.</w:t>
      </w:r>
    </w:p>
    <w:p>
      <w:r>
        <w:t>Â Â Â Â Â Â Â Â  Der Beschwerdegegner hat dem BeschwerdefÃ¼hrer eine Genugtuung von Fr. 6'000.-- zugesprochen (Urk. 2/2/1 S. 4). Das Bundesgericht hat in seinem Urteil vom 21. Februar 2001 festgehalten, dass eine Genugtuung kumulativ eine schwere Betroffenheit und besondere UmstÃ¤nde voraussetzt. Nicht jede physische oder psychische Verletzung oder BeeintrÃ¤chtigung fÃ¼hrt zu einer Genugtuung. Verlangt wird eine gewisse Schwere der BeeintrÃ¤chtigung, wie beispielsweise InvaliditÃ¤t oder eine dauernde BeeintrÃ¤chtigung eines wichtigen Organs. Ist die SchÃ¤digung nicht dauernd, wird ein Genugtuungsanspruch nur angenommen, wenn besondere UmstÃ¤nde vorliegen, wie etwa ein mehrmonatiger Spitalaufenthalt mit zahlreichen Operationen oder eine lange Leidenszeit und ArbeitsunfÃ¤higkeit. Kann eine Verletzung ohne grosse Komplikationen und ohne dauernde BeeintrÃ¤chtigung geheilt werden, ist in der Regel keine Genugtuung geschuldet. Bei ArbeitsunfÃ¤higkeit von bloss einigen Wochen wird im Allgemeinen ein Genugtuungsanspruch verneint. BetrÃ¤chtliche psychische BeeintrÃ¤chtigungen mÃ¼ssen bei der Bemessung der Genugtuung berÃ¼cksichtigt werden, so posttraumatische StresszustÃ¤nde, die zu dauerhaften VerÃ¤nderungen der PersÃ¶nlichkeit fÃ¼hren (Urteil vom 21. Februar 2001 in Sachen M., 1A.235/2000 Erw. 5b/aa, mit zahlreichen Hinweisen).</w:t>
      </w:r>
    </w:p>
    <w:p>
      <w:r>
        <w:t>Â Â Â Â Â Â Â Â  Angesichts der mehrfachen Frakturen, welche zu dem rund zweiwÃ¶chigen Spitalaufenthalt fÃ¼hrten, sowie der darauffolgenden dreimonatigen ArbeitsunfÃ¤higkeit (einschliesslich der sechswÃ¶chigen Mobilisierung an StÃ¶cken) ist die fÃ¼r die Zusprechung der Genugtuung geforderte Schwere der BeeintrÃ¤chtigung vorliegend zu bejahen. Der Fall ist allerdings im leichten Bereich der gesamten Bandbreite der genugtuungswÃ¼rdigen FÃ¤lle anzusiedeln. Angesichts der gesamten UmstÃ¤nde sind die Fr. 6'000.--, welche der Beschwerdegegner dem BeschwerdefÃ¼hrer zugesprochen hatte, als eher grosszÃ¼gig zu wÃ¼rdigen: In der Rechtsprechung wurden in vergleichbaren FÃ¤llen niedrigere Genugtuungssummen gewÃ¤hrt. So wurden Fr. 3'000.-- fÃ¼r eine anlÃ¤sslich einer SchlÃ¤gerei erlittene Jochbogen- und doppelte Unterschenkelfraktur mit erheblichen Schmerzen, einem sechs- bis achtwÃ¶chigen Spitalaufenthalt und einer anschliessenden langen Heilungsdauer zugesprochen, wobei Ã¼berdies lange Zeit nur eine Fortbewegung an StÃ¶cken mÃ¶glich war. Ebenfalls Fr. 3'000.-- wurden gesprochen bei einer Schlagverletzung, welche zu einem Nasenbeinbruch, einer GehirnerschÃ¼tterung, diversen Prellungen und einer ArbeitsunfÃ¤higkeit von 1 1/2 Monaten gefÃ¼hrt hatte. Fr. 5'000.-- wurden sodann gewÃ¤hrt bei - ebenfalls durch eine SchlÃ¤gerei verursachten - Mehrfachfrakturen (Kiefer-, Nasen- und Jochbeinbruch), diversen Prellungen und Rissquetschwunden in der Nasenbeingegend, mit einer vollen ArbeitsunfÃ¤higkeit wÃ¤hrend 1 1/3 Monaten und diversen Operationen. Der gleiche Betrag wurde fÃ¼r gefÃ¤hrliche Stichverletzungen zwischen zwei Hauptschlagadern mit einer dauerhaften Funktionseinbusse der Finger und der Hand sowie einer InvaliditÃ¤t von 10-15 % gesprochen (HÃ¼tte/Ducksch, Die Genugtuung, Tafel VIII/10 2001 ff. Nr. 17, 19, 22-23). Genugtuungssummen von Fr. 6'000.-- lagen lÃ¤ngere ArbeitsunfÃ¤higkeiten, schwerere VorfÃ¤lle oder bleibende SchÃ¤den zugrunde. So wurden Fr. 6'000.-- gewÃ¤hrt fÃ¼r eine volle ArbeitsunfÃ¤higkeit wÃ¤hrend sieben Monaten und einer ebensolchen Dauer einer ArbeitsunfÃ¤higkeit von 50 %, dies aufgrund von Stichverletzungen im Bereich Zwerchfell, einer Nasenwurzelverletzung und eines starken Angsttraumas (HÃ¼tte/Ducksch, a.a.O., Tafel VIII/10 2001 ff. Nr. 24). Die Zusprechung von Fr. 6'500.-- erfolgte aufgrund einer Oberarmfraktur mit sechsmonatiger konservativer Behandlung und einer InvaliditÃ¤t von 15 % (HÃ¼tte/Ducksch, a.a.O., Tafel VIII/30 1998-2000, Nr. 15g). An derartigen UmstÃ¤nden fehlt es vorliegend, zumal die ArbeitsunfÃ¤higkeit einschliesslich Mobilisation wie ausgefÃ¼hrt rund drei Monate betrug und weitere, insbesondere psychische Nachwirkungen des Ereignisses, nicht ersichtlich sind (vorstehende Erw. 1.4).</w:t>
      </w:r>
    </w:p>
    <w:p>
      <w:r>
        <w:t>Â Â Â Â Â Â Â Â  Die vom Beschwerdegegner zugesprochene Genugtuung erscheint daher eher grosszÃ¼gig und ist nicht zu beanstanden. Dies umso weniger, als aktenkundig ist, dass der BeschwerdefÃ¼hrer in stark alkoholisiertem Zustand ins Spital eingeliefert wurde (Urk. 7/4 Seite 4) und er bezÃ¼glich des Hergangs des Vorfalls gar keine Erinnerung hat. Ein gewisses Mitverschulden des BeschwerdefÃ¼hrers ist daher wahrscheinlich. Da ein Selbstverschulden indessen nicht mit Sicherheit feststeht ist von einer Herabsetzung der Genugtuungssumme abzusehen. Indessen kann der vorliegende Fall auch nicht mit dem Fall verglichen werden, in dem die ZÃ¼rcher BehÃ¶rden einer Wirtin, welche von einem Gast mit den FÃ¤usten geschlagen wurde, was zu einem Bruch der Kinnlade gefÃ¼hrt habe, eine Genugtuung von ebenfalls Fr. 6'000.-- zugesprochen hatte. Die anlÃ¤sslich der Hauptverhandlung vom 4. Juli 2005 angefÃ¼hrten weiteren zwei FÃ¤lle kÃ¶nnen ebenfalls nicht als Vergleich dienen (vgl. Urk. 20 Ziff. 18 S. 17). Im Fall der Angestellten eines GeschÃ¤fts, die bei einem RaubÃ¼berfall als Geisel genommen und wÃ¤hrend Stunden mit Waffen bedroht und zum Teil verschleppt wurden, wurde die psychische IntegritÃ¤t der Geisel schwerer verletzt. Beim Betroffenen, welcher eine mangelhaft gesicherte Treppe hinunterstÃ¼rzte und sich eine Verletzung des Knies zuzog, dauerte der Spitalaufenthalt immerhin 4 Wochen.</w:t>
      </w:r>
    </w:p>
    <w:p>
      <w:r>
        <w:t>2.4Â Â Â Â  Die vom BeschwerdefÃ¼hrer persÃ¶nlich eingereichten Vortragsnotizen (Urk. 22) enthalten nichts, was sein Rechtsvertreter nicht bereits ausgefÃ¼hrt hat, weshalb nicht weiter darauf einzugehen ist.</w:t>
      </w:r>
    </w:p>
    <w:p>
      <w:r>
        <w:t>3.Â Â Â Â Â Â  Der unentgeltliche Rechtsvertreter des BeschwerdefÃ¼hrers machte mit Honorarnote vom 1. August 2005 einen Aufwand von 25 Stunden und Spesen von Fr. 305.50 geltend (Urk. 24). Dabei macht er fÃ¼r die Vorbereitung der Verhandlung insgesamt 20.5 Stunden, worunter Besprechungen mit dem Klienten 5 Stunden und 50 Minuten, geltend. FÃ¼r die Kurzeingabe an das Gericht betr. URB-EntschÃ¤digung wurden 20 Minuten notiert. FÃ¼r einen Brief an den Klienten am 5. April 2005 wird eine Zeit von 40 Minunten geltend gemacht; fÃ¼r einen zweiten Brief am 12. April 2005 ebenfalls an den Klienten 50 Minuten.</w:t>
      </w:r>
    </w:p>
    <w:p>
      <w:r>
        <w:t>Â Â Â Â Â Â Â Â  Im Rahmen der unentgeltlichen RechtsverbeistÃ¤ndung werden nur notwendige, angemessene Aufwendungen entschÃ¤digt. Eine notwendige Besprechung mit dem Klienten sollte sich auf hÃ¶chstens 3 Stunden beschrÃ¤nken, der Zeitaufwand fÃ¼r Briefe - so denn solche angesichts der langen Besprechungen Ã¼berhaupt notwendig sind -Â  auf die HÃ¤lfte der angegebenen Zeit. Dies bedeutet, dass diesbezÃ¼glich (Besprechung, Briefe) 295 Minuten in Abzug gebracht werden. Eine EntschÃ¤digung auf der Basis von insgesamt 20 Arbeitsstunden erscheint den VerhÃ¤ltnissen eher angemessen. Beim praxisgemÃ¤ssen Ansatz von Fr. 200.-- zuzÃ¼glich Mehrwertsteuer ist der unentgeltliche Rechtsvertreter mit Fr. 4'635.-- (inkl. Mehrwertsteuer und Barauslagen)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Bernard Rambert, ZÃ¼rich, wird mit Fr. 4'635.-- (inkl. Mehrwertsteuer und Barauslagen) aus der Gerichtskasse entschÃ¤digt.</w:t>
      </w:r>
    </w:p>
    <w:p>
      <w:r>
        <w:t>4.Â Â Â Â Â Â Â Â  Zustellung gegen Empfangsschein an:</w:t>
      </w:r>
    </w:p>
    <w:p>
      <w:r>
        <w:t>- Rechtsanwalt Bernard Rambert</w:t>
      </w:r>
    </w:p>
    <w:p>
      <w:r>
        <w:t>- Direktion der Justiz des Kantons ZÃ¼rich</w:t>
      </w:r>
    </w:p>
    <w:p>
      <w:r>
        <w:t>- EidgenÃ¶ssisches Justiz- und Polizeidepartement, Bundesamt fÃ¼r Justiz</w:t>
      </w:r>
    </w:p>
    <w:p>
      <w:r>
        <w:t>Â Â Â Â Â Â Â Â Â Â Â  sowie an:</w:t>
      </w:r>
    </w:p>
    <w:p>
      <w:r>
        <w:t>Â Â Â Â Â Â Â Â Â Â Â  - die Gerichtskasse</w:t>
      </w:r>
    </w:p>
    <w:p>
      <w:r>
        <w:t>5.Â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