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OH.2004.00004 vom 24. Mai 2004</w:t>
      </w:r>
    </w:p>
    <w:p>
      <w:r>
        <w:t>ZH Sozialversicherungsgericht, 2004-05-24, DE</w:t>
      </w:r>
    </w:p>
    <w:p>
      <w:r>
        <w:rPr>
          <w:b/>
        </w:rPr>
        <w:t xml:space="preserve">Quelle: </w:t>
      </w:r>
      <w:r>
        <w:t>https://mcp.opencaselaw.ch/entscheid/zh_sozialversicherungsgericht_OH.2004.00004</w:t>
      </w:r>
    </w:p>
    <w:p>
      <w:r>
        <w:t>FR: ZH_SOZIALVERSICHERUNGSGERICHT OH.2004.00004 du 24 mai 2004</w:t>
      </w:r>
    </w:p>
    <w:p>
      <w:r>
        <w:t>IT: ZH_SOZIALVERSICHERUNGSGERICHT OH.2004.00004 del 24 maggio 2004</w:t>
      </w:r>
    </w:p>
    <w:p>
      <w:pPr>
        <w:pStyle w:val="Heading2"/>
      </w:pPr>
      <w:r>
        <w:t>Erwägungen</w:t>
      </w:r>
    </w:p>
    <w:p>
      <w:r>
        <w:rPr>
          <w:b/>
        </w:rPr>
        <w:t>E. 3</w:t>
      </w:r>
    </w:p>
    <w:p>
      <w:r>
        <w:t>3.1Â Â Â Â  Die BeschwerdefÃ¼hrerin bringt vor, zwischen 1997 und 2001 im Haus ihrer Grosseltern in Kuba von ihrem Cousin sexuell misshandelt worden zu sein und macht insbesondere Schadenersatz- und GenugtuungsansprÃ¼che nach Art. 11 ff. OHG geltend (Urk. 1, Urk. 6/2, Urk. 6/2/1).</w:t>
      </w:r>
    </w:p>
    <w:p>
      <w:r>
        <w:t>3.2Â Â Â Â  FÃ¼r die AnsprÃ¼che auf EntschÃ¤digung und Genugtuung (Art. 1 Abs. 2 lit. c OHG) unterscheidet Art. 11 OHG (vgl. dazu BGE 124 II 507) danach, ob die Straftat, die zur unmittelbaren BeeintrÃ¤chtigung der IntegritÃ¤t einer Person gefÃ¼hrt hat, auf schweizerischem Hoheitsgebiet verÃ¼bt wurde (Abs. 1 und 2) oder ob die Person im Ausland Opfer einer Straftat geworden ist (Abs. 3). In diesem Fall werden die AnsprÃ¼che auf Personen beschrÃ¤nkt, welche das Schweizer BÃ¼rgerrecht besitzen und Wohnsitz in der Schweiz haben. Dies steht mit Art. 3 des EuropÃ¤ischen Ãbereinkommens Ã¼ber die EntschÃ¤digung fÃ¼r Opfer von Gewalttaten, dessen Ratifizierung der Bundesrat gleichzeitig mit dem Erlass des Opferhilfegesetzes vorschlug (BBl 1990 II S. 1001 f.), im Einklang. Nach dem genannten EuropÃ¤ischen Ãbereinkommen vom 24. November 1983, das fÃ¼r die Schweiz seit 1. Januar 1993 in Kraft steht (SR 0.312.5), wird die EntschÃ¤digung von dem Staat gewÃ¤hrt, in dessen Hoheitsgebiet die Straftat begangen worden ist, und sie ist den StaatsangehÃ¶rigen der Mitgliedstaaten vorbehalten, welche die Konvention ratifizieren, sowie den in diesen Staaten niedergelassenen StaatsangehÃ¶rigen der Mitgliedstaaten des Europarats (Art. 3 des Ãbereinkommens).</w:t>
      </w:r>
    </w:p>
    <w:p>
      <w:r>
        <w:t>Â Â Â Â Â Â Â Â  In Bezug auf die AnsprÃ¼che auf EntschÃ¤digung und Genugtuung ist somit die Definition in Art. 2 OHG zu weit; die Opfereigenschaft wird hier gemÃ¤ss Art. 11 OHG allein Personen zuerkannt, welche entweder von einer im Inland verÃ¼bten Straftat in ihrer IntegritÃ¤t betroffen sind oder die schweizerische StaatsbÃ¼rgerschaft besitzen und in der Schweiz Wohnsitz haben (BGE 128 II 107 Erw. 2.1, 126 II 228 Erw. 2b).</w:t>
      </w:r>
    </w:p>
    <w:p>
      <w:r>
        <w:t>3.3Â Â Â Â  Die BeschwerdefÃ¼hrerin war im Tatzeitpunkt nicht Schweizer BÃ¼rgerin. Unerheblich ist damit, wo sie ihren Wohnsitz hatte, da fÃ¼r den Anspruch auf Schadenersatz und Genugtuung nach Art. 11 ff. OHG sowohl das Schweizer BÃ¼rgerrecht als auch Wohnsitz in der Schweiz vorliegen mÃ¼ssen (vgl. vorstehend Erw. 3.2).</w:t>
      </w:r>
    </w:p>
    <w:p>
      <w:r>
        <w:rPr>
          <w:b/>
        </w:rPr>
        <w:t>E. 4</w:t>
      </w:r>
    </w:p>
    <w:p>
      <w:r>
        <w:t>4.1Â Â Â Â  Die BeschwerdefÃ¼hrerin macht sodann einen Anspruch auf Ãbernahme weiterer Kosten der Opferhilfe (insbesondere Therapiekosten) nach Art. 3 OHG geltend (Urk. 1, Urk. 6/2, Urk. 6/2/1).</w:t>
      </w:r>
    </w:p>
    <w:p>
      <w:r>
        <w:t>4.2Â Â Â Â  Nach seinem Wortlaut ist der Anspruch auf Beratung und auf KostenÃ¼bernahme durch die Beratungsstelle gemÃ¤ss Art. 3 OHG weder vom Wohnsitz oder der NationalitÃ¤t des Opfers noch vom Begehungs- und Erfolgsort der Straftat abhÃ¤ngig. Auch Art. 2 OHG, der den Geltungsbereich des Opferhilfegesetzes umschreibt, enthÃ¤lt keine derartige EinschrÃ¤nkung. Das Bundesgericht folgerte jedoch aus der Systematik, der Entstehungsgeschichte sowie Sinn und Zweck des Opferhilfegesetzes, dass das Opfer einer im Ausland begangenen Straftat Leistungen gemÃ¤ss Art. 3 OHG nur in Anspruch nehmen kÃ¶nne, wenn es schon im Tatzeitpunkt eine hinreichende Beziehung zur Schweiz unterhalten habe (BGE 126 II 228 Erw. 2d ff.). Dies sei anzunehmen, wenn das Opfer im Zeitpunkt der Tat Wohnsitz in der Schweiz hatte; war dies nicht der Fall, kÃ¶nnten in der Regel keine Hilfeleistungen nach Art. 3 OHG beansprucht werden. Ob allenfalls eine andere persÃ¶nliche Beziehung des Opfers zur Schweiz genÃ¼gen kÃ¶nne, liess das Bundesgericht ausdrÃ¼cklich offen (BGE 126 II 228 Erw. 2f). Diese mÃ¼sste jedenfalls so geartet sein, dass sie eine Ã¤hnlich enge Beziehung wie der Wohnsitz darstellt.</w:t>
      </w:r>
    </w:p>
    <w:p>
      <w:r>
        <w:t>Â Â Â Â Â Â Â Â  Das Bundesgericht hat im zitierten Entscheid unter anderem auf Art. 11 Abs. 3 OHG Bezug genommen, weil die Kosten weiterer Hilfsmassnahmen gemÃ¤ss Art. 3 Abs. 4 OHG regelmÃ¤ssig auch unter den Begriff des Schadens nach Art. 41 des Obligationenrechts fallen und deshalb auch mit der EntschÃ¤digung abgegolten werden kÃ¶nnen (BGE 126 II 228 Erw. 2c/bb). Es liege deshalb nahe, auch fÃ¼r die Inanspruchnahme weiterer Hilfe gemÃ¤ss Art. 3 Abs. 4 OHG das Bestehen einer persÃ¶nlichen Beziehung zur Schweiz im Tatzeitpunkt zu verlangen (BGE 126 II 228 Erw. 2f). Allerdings verlangt Art. 11 Abs. 3 OHG kumulativ die schweizerische StaatsangehÃ¶rigkeit und den Wohnsitz in der Schweiz, wÃ¤hrend das Bundesgericht in den Entscheiden BGE 126 II 228 und 128 II 107 eines dieser Elemente genÃ¼gen liess. Zusammenfassend genÃ¼gt die schweizerische StaatsbÃ¼rgerschaft oder der Wohnsitz des Opfers in der Schweiz im Tatzeitpunkt, um eine persÃ¶nliche Beziehung zur Schweiz und damit die Anspruchsberechtigung gemÃ¤ss Art. 3 OHG zu begrÃ¼nden.</w:t>
      </w:r>
    </w:p>
    <w:p>
      <w:r>
        <w:t>4.3Â Â Â Â  Zu prÃ¼fen ist, wo die BeschwerdefÃ¼hrerin in der Zeit von 1997 bis 2001 ihren Wohnsitz hatte: in Kuba, wo sie bis Ende 2001 lebte, oder in der Schweiz, wo ihre Mutter seit Dezember 2000 lebte. FÃ¼r die Beurteilung der Frage nach dem Wohnsitz in der Zeit von 1997 bis 2001 ist nicht die Bestimmung des Art. 25 des Schweizerischen Zivilgesetzbuches (ZGB) massgebend, wonach als Wohnsitz des Kindes unter elterlicher Sorge der Wohnsitz der Eltern oder, wenn die Eltern keinen gemeinsamen Wohnsitz haben, der Wohnsitz des Elternteils, unter dessen Obhut das Kind steht, gilt. Denn ab Dezember 2000 lebte die Mutter der BeschwerdefÃ¼hrerin in der Schweiz, die BeschwerdefÃ¼hrerin selbst noch in Kuba. Somit bestimmt sich der Wohnsitz der BeschwerdefÃ¼hrerin nach dem Bundesgesetz Ã¼ber das Internationale Privatrecht (IPRG). Nach Art. 20 Abs. 1 IPRG hat eine natÃ¼rliche Person ihren Wohnsitz in dem Staat, in dem sie sich mit der Absicht dauernden Verbleibens aufhÃ¤lt (lit. a); ihren gewÃ¶hnlichen Aufenthalt in dem Staat, in dem sie wÃ¤hrend lÃ¤ngerer Zeit lebt, selbst wenn diese Zeit zum vornherein befristet ist (lit. b); ihre Niederlassung in dem Staat, in dem sich der Mittelpunkt ihrer geschÃ¤ftlichen TÃ¤tigkeit befindet (lit. c). Niemand kann an mehreren Orten zugleich Wohnsitz haben. Hat eine Person nirgends einen Wohnsitz, so tritt der gewÃ¶hnliche Aufenthalt an die Stelle des Wohnsitzes. Die Bestimmungen des Zivilgesetzbuches Ã¼ber Wohnsitz und Aufenthalt sind nicht anwendbar (Art. 20 Abs. 2 IPRG). UnmÃ¼ndige, aber urteilsfÃ¤hige Personen begrÃ¼nden gemÃ¤ss IPRG einen freiwilligen und selbststÃ¤ndigen Wohnsitz. Bei urteilsunfÃ¤higen Personen gilt der stÃ¤ndige Aufenthalt als Wohnsitz (Basler Kommentar zum Schweizerischen Privatrecht, Zivilgesetzbuch I, 2. Auflage, Basel 2002, Daniel Staehelin, Art. 23 Rz 4).</w:t>
      </w:r>
    </w:p>
    <w:p>
      <w:r>
        <w:t>4.4Â Â Â Â  Im Tatzeitpunkt war die BeschwerdefÃ¼hrerin zwischen 6 und 9 Jahre alt. Infolge ihres Kindesalters war sie noch nicht urteilsfÃ¤hig. Als Wohnsitz gilt daher ihr gewÃ¶hnlicher Aufenthalt. Nicht massgebend ist nach Gesagten, dass ihre Mutter seit Dezember 2000 in der Schweiz lebte, da das IPRG den abgeleiteten Wohnsitz gemÃ¤ss Art. 25 ZGB nicht kennt und bei urteilsunfÃ¤higen Personen der stÃ¤ndige Aufenthalt als Wohnsitz gilt (vgl. vorstehend Erw. 4.3).</w:t>
      </w:r>
    </w:p>
    <w:p>
      <w:r>
        <w:t>Â Â Â Â Â Â Â Â  Der gewÃ¶hnliche Aufenthalt setzt eine enge Verbindung zu einem bestimmten Ort voraus. Massgebend ist der Ort, an dem sich der Schwerpunkt der LebensverhÃ¤ltnisse der jeweiligen Person befindet. Im Gegensatz zum Wohnsitz liegt beim gewÃ¶hnlichen Aufenthalt der Schwerpunkt auf der kÃ¶rperlichen Anwesenheit der betreffenden Person (BGE 117 II 334 = Pra. 1993 S. 36).</w:t>
      </w:r>
    </w:p>
    <w:p>
      <w:r>
        <w:t>Â Â Â Â Â Â Â Â  Der gewÃ¶hnliche Aufenthalt der BeschwerdefÃ¼hrerin befand sich in den Jahren 1997 bis 2001 in Kuba, da sie sich dort aufhielt und die engsten Beziehungen zu ihrem Umfeld hatte. Demnach hat die BeschwerdefÃ¼hrerin keinen Anspruch auf Ãbernahme weiterer Kosten (insbesondere Therapiekosten) im Sinne von Art. 3 OHG, weil sie im Tatzeitpunkt weder Ã¼ber das Schweizer BÃ¼rgerrecht noch Ã¼ber einen Wohnsitz in der Schweiz verfÃ¼gte.</w:t>
      </w:r>
    </w:p>
    <w:p>
      <w:r>
        <w:t>5.Â Â Â Â Â Â  Nach dem Gesagten erweist sich die angefochtene VerfÃ¼gung vom 3. MÃ¤rz 2004 als rechtens, womit die Beschwerde abzuweisen ist.</w:t>
      </w:r>
    </w:p>
    <w:p>
      <w:r>
        <w:t>Das Gericht beschliesst:</w:t>
      </w:r>
    </w:p>
    <w:p>
      <w:r>
        <w:t>Das Gesuch um unentgeltliche VerbeistÃ¤ndung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H.___</w:t>
      </w:r>
    </w:p>
    <w:p>
      <w:r>
        <w:t>- Direktion der Justiz des Kantons ZÃ¼rich</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