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MV.2024.00001 vom 23. Dezember 2024</w:t>
      </w:r>
    </w:p>
    <w:p>
      <w:r>
        <w:t>ZH Sozialversicherungsgericht, 2024-12-23, DE</w:t>
      </w:r>
    </w:p>
    <w:p>
      <w:r>
        <w:rPr>
          <w:b/>
        </w:rPr>
        <w:t xml:space="preserve">Quelle: </w:t>
      </w:r>
      <w:r>
        <w:t>https://mcp.opencaselaw.ch/entscheid/zh_sozialversicherungsgericht_MV.2024.00001</w:t>
      </w:r>
    </w:p>
    <w:p>
      <w:r>
        <w:t>FR: ZH_SOZIALVERSICHERUNGSGERICHT MV.2024.00001 du 23 décembre 2024</w:t>
      </w:r>
    </w:p>
    <w:p>
      <w:r>
        <w:t>IT: ZH_SOZIALVERSICHERUNGSGERICHT MV.2024.00001 del 23 dicembre 2024</w:t>
      </w:r>
    </w:p>
    <w:p>
      <w:pPr>
        <w:pStyle w:val="Heading2"/>
      </w:pPr>
      <w:r>
        <w:t>Erwägungen</w:t>
      </w:r>
    </w:p>
    <w:p>
      <w:r>
        <w:rPr>
          <w:b/>
        </w:rPr>
        <w:t>E. 1</w:t>
      </w:r>
    </w:p>
    <w:p>
      <w:r>
        <w:t>3. Januar bis 1 9. Juni 2020 die Y.___ - Rekrutenschule in Z.___ ( Urk. 7/3 , 7/25 ), als am 5. Mai 2020 ein Instruktor, welcher rund 3-5 Meter von ihm entfernt stand, unerwarteterweise und ohne den Befehl zu geben, den Gehörschutz wieder aufzusetzen, mehrere Male scharf schoss ( Urk.</w:t>
      </w:r>
    </w:p>
    <w:p>
      <w:r>
        <w:rPr>
          <w:b/>
        </w:rPr>
        <w:t>E. 1.1</w:t>
      </w:r>
    </w:p>
    <w:p>
      <w:r>
        <w:t>Gemäss Art. 4 Abs. 1 Satz 1 MVG haftet die Militärversicherung nach den Bestimmungen dieses Gesetzes für alle Schädigungen der körperlichen und geistigen Gesundheit des Versicherten und für die unmittelbaren wirtschaftlichen Folgen solcher Schädigungen.</w:t>
      </w:r>
    </w:p>
    <w:p>
      <w:r>
        <w:rPr>
          <w:b/>
        </w:rPr>
        <w:t>E. 1.2</w:t>
      </w:r>
    </w:p>
    <w:p>
      <w:r>
        <w:t>Nach Art. 5 Abs. 1 MVG erstreckt sich die Haftung der Militärversicherung auf jede Gesundheitsschädigung, die während des Dienstes in Erscheinung tritt und gemeldet oder sonst wie festgestellt wird. Die Militärversicherung haftet gestützt auf Art.</w:t>
      </w:r>
    </w:p>
    <w:p>
      <w:r>
        <w:rPr>
          <w:b/>
        </w:rPr>
        <w:t>E. 1.4</w:t>
      </w:r>
    </w:p>
    <w:p>
      <w:r>
        <w:t>Der Unterschied zwischen den Haftungsvoraussetzungen nach Art.</w:t>
      </w:r>
    </w:p>
    <w:p>
      <w:r>
        <w:rPr>
          <w:b/>
        </w:rPr>
        <w:t>E. 2</w:t>
      </w:r>
    </w:p>
    <w:p>
      <w:r>
        <w:t>Dagegen erhob X.___ am 2 6. Januar 2024 Beschwerde und beantragte, die Vorinstanz sei unter Aufhebung des angefochtenen Entscheids zu verpflichten, die Behandlungskosten für das Knalltrauma vom 5.</w:t>
      </w:r>
    </w:p>
    <w:p>
      <w:r>
        <w:t>Mai 2020 nach Art.</w:t>
      </w:r>
    </w:p>
    <w:p>
      <w:r>
        <w:rPr>
          <w:b/>
        </w:rPr>
        <w:t>E. 5</w:t>
      </w:r>
    </w:p>
    <w:p>
      <w:r>
        <w:t>und 6 MVG besteht namentlich darin, dass im ersten Fall der Kausalzusammenhang zwischen der Gesundheitsschädigung und den Einwirkungen während des Dienstes vermutet wird und diese Vermutung nur durch den gegenteiligen Sicherheits beweis ausgeschlossen werden kann, während im zweiten Fall das Vorliegen kausaler Folgen von dienstlicher Gesundheitsschädigung mit dem im Sozial versicherungsrecht allgemein erforderlichen Beweisgrad der überwiegenden Wahrscheinlichkeit erstellt sein muss (BGE 123 V 137 E. 3a, 111 V 370 E. 1b. ; Urteil des Bundesgerichts 8C_185/2019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