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KV.2024.00049 vom 31. März 2025</w:t>
      </w:r>
    </w:p>
    <w:p>
      <w:r>
        <w:t>ZH Sozialversicherungsgericht, 2025-03-31, DE</w:t>
      </w:r>
    </w:p>
    <w:p>
      <w:r>
        <w:rPr>
          <w:b/>
        </w:rPr>
        <w:t xml:space="preserve">Quelle: </w:t>
      </w:r>
      <w:r>
        <w:t>https://mcp.opencaselaw.ch/entscheid/zh_sozialversicherungsgericht_KV.2024.00049</w:t>
      </w:r>
    </w:p>
    <w:p>
      <w:r>
        <w:t>FR: ZH_SOZIALVERSICHERUNGSGERICHT KV.2024.00049 du 31 mars 2025</w:t>
      </w:r>
    </w:p>
    <w:p>
      <w:r>
        <w:t>IT: ZH_SOZIALVERSICHERUNGSGERICHT KV.2024.00049 del 31 marzo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Am 1. Januar 2023 sind die geänderten Bestimmungen des Anhangs 1 der Ver ordnung des Eidgenössischen Departements des Innern (EDI) über Leistungen in der obligatorischen Krankenpflegeversicherung (Krankenpflege-Leistungsver ordnung, KLV) in Kraft getreten, welche vorliegend zur Anwendung gelangen.</w:t>
      </w:r>
    </w:p>
    <w:p>
      <w:r>
        <w:rPr>
          <w:b/>
        </w:rPr>
        <w:t>E. 1.3</w:t>
      </w:r>
    </w:p>
    <w:p>
      <w:r>
        <w:t>Art.</w:t>
      </w:r>
    </w:p>
    <w:p>
      <w:r>
        <w:t>24 KVG verpflichtet die Krankenkassen, aus der obligatorischen Kranken pflegeversicherung die Kosten für die in Art.</w:t>
      </w:r>
    </w:p>
    <w:p>
      <w:r>
        <w:t>25-31 KVG aufgelisteten Leistungen nach Massgabe der in Art.</w:t>
      </w:r>
    </w:p>
    <w:p>
      <w:r>
        <w:t>32-34 KVG festgelegten Voraussetzungen zu über nehmen. Nach Art.</w:t>
      </w:r>
    </w:p>
    <w:p>
      <w:r>
        <w:t>25 Abs.</w:t>
      </w:r>
    </w:p>
    <w:p>
      <w:r>
        <w:t>1 KVG übernimmt die obligatorische Krankenver sicherung die Kosten für die Leistungen, die der Diagnose oder Behandlung einer Krankheit und ihrer Folgen dienen. Art.</w:t>
      </w:r>
    </w:p>
    <w:p>
      <w:r>
        <w:t>25 Abs.</w:t>
      </w:r>
    </w:p>
    <w:p>
      <w:r>
        <w:t>2 KVG enthält einen Katalog von Leistungen, die unter die Übernahmepflicht der Kranken versicherer fallen. Die Übernahmepflicht des Krankenversicherers wird durch Art.</w:t>
      </w:r>
    </w:p>
    <w:p>
      <w:r>
        <w:t>32 Abs.</w:t>
      </w:r>
    </w:p>
    <w:p>
      <w:r>
        <w:t>1 KVG begrenzt.</w:t>
      </w:r>
    </w:p>
    <w:p>
      <w:r>
        <w:rPr>
          <w:b/>
        </w:rPr>
        <w:t>E. 1.4</w:t>
      </w:r>
    </w:p>
    <w:p>
      <w:r>
        <w:t>Gemäss Art. 32 Abs. 1 KVG sind nur jene Leistungen von der obligatorischen Krankenpflegeversicherung zu vergüten, welche wirksam, zweckmässig und wirt schaftlich sind (sogenannte WZW-Kriterien), wobei die Wirksamkeit nach wissenschaftlichen Methoden nachgewiesen sein muss.</w:t>
      </w:r>
    </w:p>
    <w:p>
      <w:r>
        <w:rPr>
          <w:b/>
        </w:rPr>
        <w:t>E. 1.5</w:t>
      </w:r>
    </w:p>
    <w:p>
      <w:r>
        <w:t>Nach Art.</w:t>
      </w:r>
    </w:p>
    <w:p>
      <w:r>
        <w:t>24 KVG übernimmt die obligatorische Krankenpflegeversicherung die Kosten für die Leistungen gemäss Art.</w:t>
      </w:r>
    </w:p>
    <w:p>
      <w:r>
        <w:t>25-31 KVG nach Massgabe der in den Art.</w:t>
      </w:r>
    </w:p>
    <w:p>
      <w:r>
        <w:t>32-34 KVG festgelegten Voraussetzungen. Die Leistungen umfassen die Untersuchungen und Behandlungen, die ambulant, stationär oder in einem Pflegeheim, sowie die Pflegeleistungen in einem Spital, die unter anderem durch Personen durchgeführt werden, die auf Anordnung oder im Auftrag eines Arztes oder einer Ärztin Leistungen erbringen (Art.</w:t>
      </w:r>
    </w:p>
    <w:p>
      <w:r>
        <w:t>25 Abs.</w:t>
      </w:r>
    </w:p>
    <w:p>
      <w:r>
        <w:t>2 lit .</w:t>
      </w:r>
    </w:p>
    <w:p>
      <w:r>
        <w:t>a Ziff.</w:t>
      </w:r>
    </w:p>
    <w:p>
      <w:r>
        <w:t>3 KVG). Laut Art.</w:t>
      </w:r>
    </w:p>
    <w:p>
      <w:r>
        <w:t>25a Abs.</w:t>
      </w:r>
    </w:p>
    <w:p>
      <w:r>
        <w:t>1 KVG leistet die obligatorische Krankenpflegeversicherung einen Beitrag an die Pflegeleistungen, welche auf Grund einer ärztlichen Anordnung und eines ausgewiesenen Pflegebedarfs ambulant, auch in Tages- oder Nacht strukturen, oder im Pflegeheim erbracht werden, wobei der Bundesrat die Pflege leistungen bezeichnet und das Verfahren der Bedarfsermittlung regelt (Art.</w:t>
      </w:r>
    </w:p>
    <w:p>
      <w:r>
        <w:t>25a Abs.</w:t>
      </w:r>
    </w:p>
    <w:p>
      <w:r>
        <w:t>3 KVG). Der Bundesrat setzt die Beiträge differenziert nach dem Pflegebedarf in Franken fest; massgebend ist der Aufwand nach Pflegebedarf für Pflege leistungen, die in der notwendigen Qualität, effizient und kostengünstig erbracht werden (Art.</w:t>
      </w:r>
    </w:p>
    <w:p>
      <w:r>
        <w:t>25a Abs.</w:t>
      </w:r>
    </w:p>
    <w:p>
      <w:r>
        <w:rPr>
          <w:b/>
        </w:rPr>
        <w:t>E. 1.6</w:t>
      </w:r>
    </w:p>
    <w:p>
      <w:r>
        <w:t>Zur Tätigkeit zu Lasten der obligatorischen Krankenpflegeversicherung sind unter anderem Personen zugelassen, die auf Anordnung oder im Auftrag eines Arztes oder einer Ärztin Leistungen erbringen, und Organisationen, die solche Personen beschäftigen (Art. 35 Abs. 2 lit . e KVG).</w:t>
      </w:r>
    </w:p>
    <w:p>
      <w:r>
        <w:t>Als Leistungserbringer bei der Pflege zu Hause kommen gemäss Art. 7 Abs. 1 lit . a und b KLV Pflegefachfrauen und -männer sowie Organisationen der Krankenpflege und Hilfe zu Hause in Frage. Die entsprechenden Zulassungs voraussetzungen sind auf Grund der Kompetenz norm von Art. 38 KVG durch den Bundesrat in Art. 49 KVV (Pflegefachpersonen) und in Art. 51 KVV (Organisa tionen der Krankenpflege und Hilfe zu Hause) festgesetzt worden.</w:t>
      </w:r>
    </w:p>
    <w:p>
      <w:r>
        <w:t>Keine Pflichtleistung stellt die Pflege durch Familienangehörige oder Nachbarn ohne den Status von zugelassenen Leistungserbringern dar (Gebhard Eugster, Rechtsprechung des Bundesgerichts zum KVG, 2. Auflage, Zürich/Basel/Genf 2018, Art. 25a Rz 15).</w:t>
      </w:r>
    </w:p>
    <w:p>
      <w:r>
        <w:t>Familienangehörige von Versicherten, die bei einer (zugelassenen) Organisation der Krankenpflege und Hilfe zu Hause angestellt sind, können grundsätzlich auch ohne pflegerische Fachausbildung Massnahmen der allgemeinen Grundpflege gemäss Art.</w:t>
      </w:r>
    </w:p>
    <w:p>
      <w:r>
        <w:t>7 Abs.</w:t>
      </w:r>
    </w:p>
    <w:p>
      <w:r>
        <w:t>2 lit .</w:t>
      </w:r>
    </w:p>
    <w:p>
      <w:r>
        <w:t>c KLV zulasten der OKP erbringen. Leistungserbringer bleibt dabei die Organisation, bei welcher die Familienangehörigen angestellt sind (vgl. Urteil des Bundesgerichts 9C_385/2023 vom 8.</w:t>
      </w:r>
    </w:p>
    <w:p>
      <w:r>
        <w:t>Mai 2024 E.</w:t>
      </w:r>
    </w:p>
    <w:p>
      <w:r>
        <w:t>4.3.3).</w:t>
      </w:r>
    </w:p>
    <w:p>
      <w:r>
        <w:t>Anders als bei den Massnahmen der allgemeinen Grundpflege, erfordern die Vor kehren der Untersuchung und Behandlung nach</w:t>
      </w:r>
    </w:p>
    <w:p>
      <w:r>
        <w:t>Art.</w:t>
      </w:r>
    </w:p>
    <w:p>
      <w:r>
        <w:t>7 Abs.</w:t>
      </w:r>
    </w:p>
    <w:p>
      <w:r>
        <w:t>2 lit .</w:t>
      </w:r>
    </w:p>
    <w:p>
      <w:r>
        <w:t>b KLV (wie auch solche der Abklärung, Beratung und Koordination nach</w:t>
      </w:r>
    </w:p>
    <w:p>
      <w:r>
        <w:t>Art.</w:t>
      </w:r>
    </w:p>
    <w:p>
      <w:r>
        <w:t>7 Abs.</w:t>
      </w:r>
    </w:p>
    <w:p>
      <w:r>
        <w:t>2 lit .</w:t>
      </w:r>
    </w:p>
    <w:p>
      <w:r>
        <w:t>a KLV) entsprechende berufliche Fähigkeiten.</w:t>
      </w:r>
    </w:p>
    <w:p>
      <w:r>
        <w:t>Damit wird dem Umstand Rechnung getragen, dass Massnahmen der Unter su chung und der Behandlung, die auf die Behebung des Gesundheits schadens gerichtet sind und einen eigentlichen Behandlungszweck erfüllen, nur durch Personen mit entsprechender fachlicher Qualifikation ausgeführt werden dürfen (vgl. BGE 145 V 161 E. 5).</w:t>
      </w:r>
    </w:p>
    <w:p>
      <w:r>
        <w:t>Betreffend die zu Hause von Familienangehörigen erbrachte psychiatrische Grundpflege im Sinne von Art.</w:t>
      </w:r>
    </w:p>
    <w:p>
      <w:r>
        <w:t>7 Abs.</w:t>
      </w:r>
    </w:p>
    <w:p>
      <w:r>
        <w:t>2 lit .</w:t>
      </w:r>
    </w:p>
    <w:p>
      <w:r>
        <w:t>c Ziff.</w:t>
      </w:r>
    </w:p>
    <w:p>
      <w:r>
        <w:t>2 KLV hielt das Bundesgericht in seinem Urteil 9C_385/2023 vom 8.</w:t>
      </w:r>
    </w:p>
    <w:p>
      <w:r>
        <w:t>Mai 2024 fest, dass die Rechtsprechung von BGE 145 V 161 E.</w:t>
      </w:r>
    </w:p>
    <w:p>
      <w:r>
        <w:t>5 sinngemäss auch auf die psychiatrische Grundpflege im Sinne von Art.</w:t>
      </w:r>
    </w:p>
    <w:p>
      <w:r>
        <w:t>7 Abs.</w:t>
      </w:r>
    </w:p>
    <w:p>
      <w:r>
        <w:t>2 lit .</w:t>
      </w:r>
    </w:p>
    <w:p>
      <w:r>
        <w:t>c Ziff.</w:t>
      </w:r>
    </w:p>
    <w:p>
      <w:r>
        <w:t>2 KLV anwendbar ist (E.</w:t>
      </w:r>
    </w:p>
    <w:p>
      <w:r>
        <w:t>4.3.6).</w:t>
      </w:r>
    </w:p>
    <w:p>
      <w:r>
        <w:t>Entsprechend dürfen auch hinreichend instruierte und überwachte Familien an gehörige zu Lasten der OKP die psychiatrische Grundpflege erbringen, zumal für diese keine hochstehende pflegerische Fachausbildung vorausgesetzt wird und ebenfalls ein «gewisses Anlernen» genügt. Hingegen muss die Abklärung, ob Mass nahmen nach Art.</w:t>
      </w:r>
    </w:p>
    <w:p>
      <w:r>
        <w:t>7 Abs.</w:t>
      </w:r>
    </w:p>
    <w:p>
      <w:r>
        <w:t>2 lit .</w:t>
      </w:r>
    </w:p>
    <w:p>
      <w:r>
        <w:t>b Ziff.</w:t>
      </w:r>
    </w:p>
    <w:p>
      <w:r>
        <w:rPr>
          <w:b/>
        </w:rPr>
        <w:t>E. 1.7</w:t>
      </w:r>
    </w:p>
    <w:p>
      <w:r>
        <w:t>Voraussetzung für die Vergütung von Leistungen der ambulanten spitalexternen Krankenpflege (gemäss Tarif nach Art.</w:t>
      </w:r>
    </w:p>
    <w:p>
      <w:r>
        <w:t>7a KLV) ist ein klarer ärztlicher Auftrag oder eine ärztliche Anordnung hinsichtlich der erforderlichen Massnahmen (Art.</w:t>
      </w:r>
    </w:p>
    <w:p>
      <w:r>
        <w:t>8 Abs.</w:t>
      </w:r>
    </w:p>
    <w:p>
      <w:r>
        <w:t>1 KLV), welche aufgrund der Bedarfsabklärung und der gemeinsamen Planung näher zu umschreiben sind (Art.</w:t>
      </w:r>
    </w:p>
    <w:p>
      <w:r>
        <w:t>8a und 8b KLV). Es genügt, wenn die zu treffenden Massnahmen so präzise umschrieben sind, dass daraus für die Details auf die notwendigen Materialien und Vorkehrungen geschlossen werden kann.</w:t>
      </w:r>
    </w:p>
    <w:p>
      <w:r>
        <w:t>Genügen die vorhandenen Angaben (in der Pflegedokumentation) nicht, um die Leistungspflicht in zuverlässiger Weise beurteilen zu können, hat der Kranken versicherer ergänzende Unterlagen einzuverlangen. Wird dieser Aufforderung nicht oder nur ungenügend nachgekommen, kann er die Vergütung der geltend gemachten Leistungen ablehnen ( Urteil des Bundesgerichts 9C_307/2020 vom 10.</w:t>
      </w:r>
    </w:p>
    <w:p>
      <w:r>
        <w:t>August 2020 E.</w:t>
      </w:r>
    </w:p>
    <w:p>
      <w:r>
        <w:t>3.2 ).</w:t>
      </w:r>
    </w:p>
    <w:p>
      <w:r>
        <w:t>Welche Massnahmen in zeitlicher Hinsicht wie auch in Bezug auf Form und Inhalt angebracht sind, steht im pflichtgemässen Ermessen der Pflegefachperson (oder der Spitex) und des für die Anordnung der Leistungen zuständigen Arztes (Urteil des Bundesgerichts 9C_307/2020 vom 10.</w:t>
      </w:r>
    </w:p>
    <w:p>
      <w:r>
        <w:t>August 2020 E.</w:t>
      </w:r>
    </w:p>
    <w:p>
      <w:r>
        <w:rPr>
          <w:b/>
        </w:rPr>
        <w:t>E. 2</w:t>
      </w:r>
    </w:p>
    <w:p>
      <w:r>
        <w:t>3. September 202</w:t>
      </w:r>
    </w:p>
    <w:p>
      <w:r>
        <w:rPr>
          <w:b/>
        </w:rPr>
        <w:t>E. 2.1</w:t>
      </w:r>
    </w:p>
    <w:p>
      <w:r>
        <w:t>Die Beschwerdegegnerin ging im angefochtenen Einspracheentscheid vom 7. Juni 2024 ( Urk. 2) davon aus, dass die eingereichten Unterlagen und Abrechnungen den Anforderungen an Pflegerapporte nicht genügten, und dass sich aus den Pflegerapporten insbesondere kein e Arbeitsrapport e entnehmen l iessen , weshalb eine Prüfung der Wirtschaftlichkeit nicht möglich sei. Den eingereichten Pflege rapporten lasse sich lediglich eine nachvollziehbare tägliche Arbeitsleistung von 60 Minuten entnehmen, weshalb sie die diesbezüglichen Rechnungen der Z.___ GmbH auch bezahlt habe (S. 5).</w:t>
      </w:r>
    </w:p>
    <w:p>
      <w:r>
        <w:rPr>
          <w:b/>
        </w:rPr>
        <w:t>E. 2.2</w:t>
      </w:r>
    </w:p>
    <w:p>
      <w:r>
        <w:t>Die Beschwerdeführerin brachte hiegegen vor, dass mit den durch die pflegende Angehörige erbrachten Dokumentationsleistungen die Mindestanforderungen an eine Pflegedokumentation erfüllt worden seien ( Urk. 1 S. 6), und dass die von der Beschwerdegegnerin erwartete zusätzliche Leistungsdokumentation im Sinne eines Arbeitsrapportes von der Z.___ GmbH beziehungsweise der pflegenden Angehörigen umgesetzt worden sei ( Urk. 1 S. 7). So sei für die Zeit ab Oktober 2023 sowohl die betriebsinterne Leistungserfassung als auch die Pflege verlaufsdokumentation digital erfasst worden, wobei täglich im Sinne einer betriebsinternen Information sowohl die von der Beschwerdegegnerin gut gesprochenen 60 Pflegeminuten pro Tag als auch die geleisteten Pflegemass nahmen der pflegenden Angehörigen erfasst worden seien ( Urk. 1 S.</w:t>
      </w:r>
    </w:p>
    <w:p>
      <w:r>
        <w:t>8). Demzu folge sei die Pflegedokumentation im umstrittenen Zeitraum durch das Gericht zu überprüfen und es sei der von ihr benötigte Pflegebedarf durch eine neutrale Gutachterstelle abzuklären ( Urk. 1 S. 8 f.). 3. 3.1</w:t>
      </w:r>
    </w:p>
    <w:p>
      <w:r>
        <w:t>Den Akten ist zu entnehmen, dass der Z.___ GmbH mit Verfügung der Gesundheitsdirektion des Kantons Zürich vom 2 0. Oktober 2022 ( Urk. 3/3 ) gemäss Art. 51 KVV in Verbindung mit § 35 Abs. 1 lit . c und § 36 des Ges und heitsgesetzes ( GesG ) eine Betriebsbewilligung als Organisation der Krankenpflege und Hilfe zu Hause erteilt wurde. 3.2 Die Verfügung vom 2 9. Januar 2024 ( Urk. 15/24), welche von der Beschwerde führerin am 2 9. Februar 2024 mittels Einsprache angefochtene wurde ( Urk. 15/26) , war an die Z.___ GmbH</w:t>
      </w:r>
    </w:p>
    <w:p>
      <w:r>
        <w:t>beziehungsweise an ihren Rechts vertreter adressiert . Zum Zeitpunkt bei Erlass der Verfügung vom 2 9. Januar 2024 war die Z.___ GmbH durch einen Rechtsvertreter vertreten (vgl. Voll macht der Z.___ GmbH vom 7. Dezember 2023 ; Urk. 15/20/3) , welcher ab 5. Februar 2024 zusätzlich und gleichzeitig die Beschwerdeführerin, insbeson dere bei der Erhebung der Einsprache vom 2 9. Februar 2024 (Urk.</w:t>
      </w:r>
    </w:p>
    <w:p>
      <w:r>
        <w:t>15/26/1-3) ,</w:t>
      </w:r>
    </w:p>
    <w:p>
      <w:r>
        <w:t>vertrat ( Vollmacht vom 5. Februar 2024 ; Urk. 15/26/4) . 3.3 Die an die Z.___ GmbH adressierte Verfügung vom 2 9. Januar 2024 ( Urk. 15/24) hatte die Frage zum Inhalt, für welche der v on einer Angehörigen der Beschwerdeführerin als Angestellte der Z.___ GmbH</w:t>
      </w:r>
    </w:p>
    <w:p>
      <w:r>
        <w:t>erbrachten Leistungen beziehungsweise in welchem Umfang es sich bei diesen Leistungen um Ma ssnahmen der allgemeinen Grundpflege gemäss Art. 7 Abs. 2 lit . c KLV handelte, für welche die Z.___ GmbH gegenüber der Beschwerde gegnerin, dem Krankenversicherer der Beschwerdeführerin, ein Vergütungsan spruch hatte . 4.</w:t>
      </w:r>
    </w:p>
    <w:p>
      <w:r>
        <w:rPr>
          <w:b/>
        </w:rPr>
        <w:t>E. 4</w:t>
      </w:r>
    </w:p>
    <w:p>
      <w:r>
        <w:t>Satz 1 und 2 KVG).</w:t>
      </w:r>
    </w:p>
    <w:p>
      <w:r>
        <w:t>Der entsprechende Leistungsbereich wird in Art.</w:t>
      </w:r>
    </w:p>
    <w:p>
      <w:r>
        <w:rPr>
          <w:b/>
        </w:rPr>
        <w:t>E. 4.1</w:t>
      </w:r>
    </w:p>
    <w:p>
      <w:r>
        <w:t>Zu prüfen ist im Folgenden daher, ob eine Streitigkeit zwischen Versicherer und versicherten Person oder eine solche zwischen Versicherer und Leistungserbringer vorlieg t.</w:t>
      </w:r>
    </w:p>
    <w:p>
      <w:r>
        <w:rPr>
          <w:b/>
        </w:rPr>
        <w:t>E. 4.2</w:t>
      </w:r>
    </w:p>
    <w:p>
      <w:r>
        <w:t>Gemäss Art. 89 KVG entscheidet über Streitigkeiten zwischen Versicherern und Leistungserbringern das kantonale Schiedsgericht</w:t>
      </w:r>
    </w:p>
    <w:p>
      <w:r>
        <w:t>( Abs. 1) desjenigen Kantons, dessen Tarif zur Anwendung gelangt, oder desjenigen Kantons, in dem die ständige Einrichtung des Leistungserbringers liegt ( Abs. 2) . Gemäss Abs. 3 Satz 1 dieser Bestimmung ist d as Schiedsgericht auch zuständig, wenn die versicherte Person die Vergütung schuldet (System des Tiers garant , Art. 42 Abs. 1 KVG ) .</w:t>
      </w:r>
    </w:p>
    <w:p>
      <w:r>
        <w:rPr>
          <w:b/>
        </w:rPr>
        <w:t>E. 4.3</w:t>
      </w:r>
    </w:p>
    <w:p>
      <w:r>
        <w:t>Gesetz und Verordnung umschreiben nicht näher, was unter Streitigkeiten im Sinne von Art. 89 Abs. 1 KVG zu verstehen ist. Nach der Rechtsprechung ist indes von einer weiten Begriffsumschreibung auszugehen, indem die sachliche Zustän digkeit für alle Streitigkeiten zwischen Krankenversicherern und Leistungs erbringern zu bejahen ist, wenn und soweit sie Rechtsbeziehungen zum Gegen stand haben, die sich aus dem KVG ergeben oder auf Grund des KVG eingegangen worden sind. Des Weiter e n muss es sich um eine Streitigkeit zwischen Versiche rungsträgern und leistungserbringenden Personen handeln, was sich danach bestimmt, welche Parteien einander in Wirklichkeit gegenüberstehen. Der Streit gegenstand muss mit ander e n Worten die besondere Stellung der Versicherer oder Leistungs erbringer im Rahmen des KVG betreffen. Liegen der Streitigkeit keine solchen Rechtsbeziehungen zu Grunde, ist sie nicht nach sozialversicherungs rechtlichen Kriterien zu beurteilen, mit der Folge, dass nicht die Schiedsgerichte, sondern allenfalls die Zivilgerichte zum Entscheid sachlich zuständig sind ( Urteil des Bundesgerichts 9C_479/2013 vom 9. September 2014 E. 2; BGE 132 V 352 E.</w:t>
      </w:r>
    </w:p>
    <w:p>
      <w:r>
        <w:t>2. 1 ).</w:t>
      </w:r>
    </w:p>
    <w:p>
      <w:r>
        <w:rPr>
          <w:b/>
        </w:rPr>
        <w:t>E. 4.4</w:t>
      </w:r>
    </w:p>
    <w:p>
      <w:r>
        <w:t>Nach der Rechtsprechung ändert nichts an der Zuständigkeit des Schiedsgerichts, wenn tarifvertraglich nicht das System Tiers payant , bei welchem die Versiche rung die Vergütung schuldet, vereinbart wurde, sondern das System Tiers garant , bei welchem die versicherte Person die Vergütung schuldet, gilt (Urteil e des Bun desgerichts 9C_479/2013 vom 9. September 2014 E. 4 ; 9C_563/2007 vom 1 1. Dezember 2007 E. 5; K 124/04 vom 1 7. November 2005, E. 1.1 und K 124/02 vom 3 0. April 2004 E. 2. 2). Im System des Tiers garant ist die versicherte Person gegenüber dem Leistungserbringer der Schuldner der Vergütung ( Art. 42 Abs. 1 KVG ; Urteil des Bundesgerichts 9C_256/2010 vom 3 0. November 2011 E. 12.2).</w:t>
      </w:r>
    </w:p>
    <w:p>
      <w:r>
        <w:t>Demgegenüber handelt es sich beim System des Tiers payant gemäss der Recht sprechung (Urteil des Bundesgerichts 9C_65/2015 vom 32 9. September 2015 E.</w:t>
      </w:r>
    </w:p>
    <w:p>
      <w:r>
        <w:t>5.2 f.) um eine Form der vertraglichen Schuldübernahme des Versicherers gegen über dem Leistungserbringer</w:t>
      </w:r>
    </w:p>
    <w:p>
      <w:r>
        <w:t>(BGE 132 V 18 E. 5.2). Wie bei einer Schuldüber nahme nach Art. 175 ff. OR setzt das System des Tiers payant das Vorliegen einer internen und einer externen Schuldübernahme voraus. So verpflichtet sich der Versicherer, die Schuld des Versicherten zu übernehmen (interne Schuldüber nahme, Art. 175 Abs. 1 des Obligationenrecht s , OR ), was zur Folge hat, dass der Versicherte von seinen Verpflichtungen gegenüber dem Leistungs erbringer befreit wird, vorbehaltlich der Franchise und des Selbst behalts, die nicht von der Sozialversicherung übernommen werden. Der Ver sicherer tritt zudem an die Stelle des Versicherten in der vertraglichen Beziehung zum Leistungserbringer (externe Schuldübernahme, Art. 176 Abs. 1 OR).</w:t>
      </w:r>
    </w:p>
    <w:p>
      <w:r>
        <w:rPr>
          <w:b/>
        </w:rPr>
        <w:t>E. 4.5</w:t>
      </w:r>
    </w:p>
    <w:p>
      <w:r>
        <w:t>), nichts, was vorliegend den Akten nicht zweifelsfrei zu entnehmen ist, wenn es sich hierbei nicht um die Vergütung von Leistungen nach dem System des Tiers payant , sondern um solche nach dem System des Tiers garant handeln sollte. Der Verfügung vom 2 9. Januar 2024 ( Urk. 15/24) lieg t somit in materieller Hinsicht eine Frage zu Grunde, deren Beantwortung in den Bereich des KVG fällt. Es handelt sich um eine Streitigkeit zwischen Kranken versicherer und Leistungs erbringer, die Rechtsbeziehungen zum Gegen stand hat, die sich aus dem KVG ergeben oder auf Grund des KVG eingegangen worden sind. Der Streitgegenstand betrifft die besondere Stellung der Versicherer und Leistungserbringer im Rahmen des KVG, weshalb die Streitig keit in die Zuständigkeit des Schiedsgerichts f ällt . Daran änder te nichts, wenn vorliegend eine Vergütung gemäss dem System des Tiers garant</w:t>
      </w:r>
    </w:p>
    <w:p>
      <w:r>
        <w:t>in Frage stehen sollte ( vgl.</w:t>
      </w:r>
    </w:p>
    <w:p>
      <w:r>
        <w:t>vor stehend E. 4.5) . 5.2 A n diesem Umstand ändert auch nichts, dass die Einsprache vom 2 9. Februar 2024 ( Urk. 14/26) nicht von der Z.___ GmbH , sondern von der Beschwerdeführerin dagegen erhoben wurde, wobei in der Zeit ab 5. Februar 2024 ( vgl.</w:t>
      </w:r>
    </w:p>
    <w:p>
      <w:r>
        <w:t>Urk. 15/26/4) sowohl die Beschwerdeführerin als auch die Z.___ GmbH vom gleichen Rechtsvertreter vertreten wurden. Diesbezüglich stellen sich zwar Fragen nach der Unabhängigkeit des Rechtsvertreters, worauf die Beschwer degegnerin zu Recht hinw ies ( Urk.</w:t>
      </w:r>
    </w:p>
    <w:p>
      <w:r>
        <w:rPr>
          <w:b/>
        </w:rPr>
        <w:t>E. 7</w:t>
      </w:r>
    </w:p>
    <w:p>
      <w:r>
        <w:t>Abs.</w:t>
      </w:r>
    </w:p>
    <w:p>
      <w:r>
        <w:t>2 lit .</w:t>
      </w:r>
    </w:p>
    <w:p>
      <w:r>
        <w:t>a KLV und nach Art.</w:t>
      </w:r>
    </w:p>
    <w:p>
      <w:r>
        <w:rPr>
          <w:b/>
        </w:rPr>
        <w:t>E. 7.1</w:t>
      </w:r>
    </w:p>
    <w:p>
      <w:r>
        <w:t>Gemäss Art. 61 lit . g des Bundesgesetzes über den Allgemeinen Teil des Sozial versicherungsrechts (ATSG) hat die obsiegende beschwerdeführende Partei Anspruch auf Ersatz der Parteikosten. Nach der Rechtsprechung gilt es unter dem Gesichtspunkt des Anspruchs auf eine Parteientschädigung als Obsiegen, wenn die Rechtsstellung der Partei durch den Entscheid im Vergleich zu derjenigen im Administrativverfahren verbessert wird. Desgleichen gilt ein Beschwerderückzug als Unterliegen (Urteile des Bundesgerichts 8C_107/2010 vom 2. August 2010 E. 9.3 und 9C_766/2007 vom 3. Januar 2008 E. 3.2, je m.w.H .; zum Ganzen: Urteil des Bundesgerichts 8C_304/2018 vom 6. Juli 2018 E. 4.3.1).</w:t>
      </w:r>
    </w:p>
    <w:p>
      <w:r>
        <w:rPr>
          <w:b/>
        </w:rPr>
        <w:t>E. 7.2</w:t>
      </w:r>
    </w:p>
    <w:p>
      <w:r>
        <w:t>Nach § 34 Abs. 1 GSVGer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des Gesetzes über das Sozialversicherungsgericht ( GSVGer ). Als weitere Bemessungs kriterien nennt § 7 der Verordnung über die Gebühren, Kosten und Ent schädi gungen vor dem Sozialversicherungsgericht ( GebV</w:t>
      </w:r>
    </w:p>
    <w:p>
      <w:r>
        <w:t>SVGer ) den Zeit aufwand und die Barauslagen.</w:t>
      </w:r>
    </w:p>
    <w:p>
      <w:r>
        <w:rPr>
          <w:b/>
        </w:rPr>
        <w:t>E. 7.3</w:t>
      </w:r>
    </w:p>
    <w:p>
      <w:r>
        <w:t>Da die vertretene Beschwerdeführerin im Ergebnis obsiegt, hat sie Anspruch auf eine Prozessentschädigung, welche unter Berücksichtigung der Bedeutung der Streitsache und der Schwierigkeit des Prozesses bei einem praxisgemässen Stundenansatz von Fr. 280 .-- (zuzüglich Mehrwertsteuer) auf Fr. 3’10 0.--(inklusive Barauslagen und Mehrwertsteuer) festzusetzen ist. Die Einzelrichterin erkennt: 1.</w:t>
      </w:r>
    </w:p>
    <w:p>
      <w:r>
        <w:t>Auf die Beschwerde wird nicht eingetreten und es wird festgestellt, dass die Verfügung vom 2 9. Januar 2024 und der Einspracheentscheid</w:t>
      </w:r>
    </w:p>
    <w:p>
      <w:r>
        <w:t>der Easy Sana Krankenv ersicherung</w:t>
      </w:r>
    </w:p>
    <w:p>
      <w:r>
        <w:t>AG vom 7. Juni 2024 nichtig sind. 2.</w:t>
      </w:r>
    </w:p>
    <w:p>
      <w:r>
        <w:t>Das Verfahren ist kostenlos. 3.</w:t>
      </w:r>
    </w:p>
    <w:p>
      <w:r>
        <w:t>Die Beschwerdegegnerin wird verpflichtet, der Beschwerdeführerin eine Parteient schädigung von Fr. 3’100 .-- (inkl usive Barauslagen und M ehrwertsteuer ) zu bezahlen. 4.</w:t>
      </w:r>
    </w:p>
    <w:p>
      <w:r>
        <w:t>Zustellung gegen Empfangsschein an: - Rechtsanwalt Prof. Dr. Hardy Landolt - Avenir Assurance Maladie SA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KächVolz</w:t>
      </w:r>
    </w:p>
    <w:p>
      <w:r>
        <w:rPr>
          <w:b/>
        </w:rPr>
        <w:t>E. 8</w:t>
      </w:r>
    </w:p>
    <w:p>
      <w:r>
        <w:t>KLV auf ärztliche Anordnung hin oder im ärztlichen Auftrag erbracht werden. Gemäss Art.</w:t>
      </w:r>
    </w:p>
    <w:p>
      <w:r>
        <w:t>7 Abs.</w:t>
      </w:r>
    </w:p>
    <w:p>
      <w:r>
        <w:t>2 KLV umfassen die Leistungen im Sinne von Abs.</w:t>
      </w:r>
    </w:p>
    <w:p>
      <w:r>
        <w:t>1 der Bestimmung Massnahmen der Abklärung, Beratung und Koordination ( lit .</w:t>
      </w:r>
    </w:p>
    <w:p>
      <w:r>
        <w:t>a), der Unter suchung und der Behandlung ( lit .</w:t>
      </w:r>
    </w:p>
    <w:p>
      <w:r>
        <w:t>b) sowie der Grundpflege ( lit .</w:t>
      </w:r>
    </w:p>
    <w:p>
      <w:r>
        <w:t>c). Die Beiträge der obligatorischen Krankenpflegeversicherung an die Leistungen für Bedarfs abklärungen sowie Behandlungs- und Grundpflege sind in Art.</w:t>
      </w:r>
    </w:p>
    <w:p>
      <w:r>
        <w:t>7a Abs.</w:t>
      </w:r>
    </w:p>
    <w:p>
      <w:r>
        <w:t>1 KLV geregelt.</w:t>
      </w:r>
    </w:p>
    <w:p>
      <w:r>
        <w:rPr>
          <w:b/>
        </w:rPr>
        <w:t>E. 13</w:t>
      </w:r>
    </w:p>
    <w:p>
      <w:r>
        <w:t>f. und lit .</w:t>
      </w:r>
    </w:p>
    <w:p>
      <w:r>
        <w:t>c Ziff.</w:t>
      </w:r>
    </w:p>
    <w:p>
      <w:r>
        <w:t>2 KLV durch geführt werden sollen, von einer Pflegefachfrau oder einem Pflege fachmann (Art.</w:t>
      </w:r>
    </w:p>
    <w:p>
      <w:r>
        <w:t>49 KVV) vorgenommen werden, die oder der eine zweijährige praktische Tätigkeit in der Fachrichtung Psychiatrie nachweisen kann (Art.</w:t>
      </w:r>
    </w:p>
    <w:p>
      <w:r>
        <w:t>7 Abs.</w:t>
      </w:r>
    </w:p>
    <w:p>
      <w:r>
        <w:t>2 bis</w:t>
      </w:r>
    </w:p>
    <w:p>
      <w:r>
        <w:t>lit .</w:t>
      </w:r>
    </w:p>
    <w:p>
      <w:r>
        <w:t>b KLV; vgl. Urteil des Bundesgerichts 9C_385/2023 vom 8.</w:t>
      </w:r>
    </w:p>
    <w:p>
      <w:r>
        <w:t>Mai 2024 E.</w:t>
      </w:r>
    </w:p>
    <w:p>
      <w:r>
        <w:t>4.3.5.2).</w:t>
      </w:r>
    </w:p>
    <w:p>
      <w:r>
        <w:rPr>
          <w:b/>
        </w:rPr>
        <w:t>E. 14</w:t>
      </w:r>
    </w:p>
    <w:p>
      <w:r>
        <w:t>S. 4 f.). Interessenkonflikt e lieg en insbe sondere dann vor, wenn der Anwalt die Wahrung der Interessen eines Klienten übernommen hat und dabei Entscheidungen zu treffen hat, mit denen er sich potenziell in Konflikt zu eigenen oder anderen ihm übertragenen Interessen begibt (vgl. Art. 12 lit . c des Bundesgesetzes über die Freizügigkeit der Anwältin nen und Anwälte; Urteil des Bundesgerichts 2C_933/2018 vom 2 5. März 2019 E.</w:t>
      </w:r>
    </w:p>
    <w:p>
      <w:r>
        <w:t>5.2) . Auf d iese Frage ist vorliegend indes nicht näher einzugehen , wie nach folgend zu zeigen ist. 5.3 Der Umstand, dass nunmehr die Beschwerdeführerin gegen die Verfügung vom 2 9. Januar 2024 (Urk. 15/24) Einsprache erhoben hat, ändert indes nichts daran, dass die Verfügung einen in der Zuständigkeit des Schiedsgerichts liegenden Inhalt aufweist. Auch der angefochtene Einspracheentscheid vom 7. Juni 2024 ( Urk. 2), womit die von der Beschwerdeführerin gegen die Verfügung vom 2 9. Januar 2024 (Urk. 15/24) erhobene Einsprache abgewiesen wurde, ändert daran nichts. 6. 6.1 Nach der Rechtsprechung sind f ehlerhafte Verfügungen und Einsprache e nt scheide in der Regel nur anfechtbar . Als nichtig erweisen sie sich erst dann, wenn der ihnen anhaftende Mangel besonders schwer wiegt, wenn er sich als offen sichtlich erweist oder zumindest leicht erkennbar ist und die Rechts sicherheit durch die Annahme der Nichtigkeit nicht ernsthaft gefährdet wird. Inhaltliche Mängel einer Entscheidung führen nur ausnahmsweise zur Nichtigkeit. Als Nichtigkeitsgründe kommen vorab funktionelle und sachliche Unzuständigkeit der entscheidenden Behörde sowie krasse Verfahrensfehler in Betracht (BGE 148 II 564 E. 7.2; 147 III 226 E. 3.1.2; 147 IV 93 E. 1.4.4; 145 III 436 E. 4 und 138 III 49 E. 4.4.3 ; Urteil des Bundesgerichts 9C_285/2023 vom 2 6. Juli 2023 E. 2.1 ). 6.2 Gemäss der Rechtsprechung handelt es sich bei einer Verfügung eines Kranken versicherers, welche einen Bereich betrifft, der in der Zuständigkeit des Schieds gerichts zu liegen kommt und für den dem Krankenversicherer keine Verfügungs zuständigkeit zukommt, als eine mit einem so schweren Mangel behaftete Verfügung, dass auf Nichtigkeit zu schliessen ist (Urteil des Bundesgerichts K 40/01 vom 9. August 2001 E. 4c; BGE 127 II 47, 119 V 314 E.</w:t>
      </w:r>
    </w:p>
    <w:p>
      <w:r>
        <w:t>3b und 114 V 327 E. 4b). Fehlt einer Verfügung zufolge Nichtigkeit jegliche Rechts verbindlich keit, so ist das durch die Behörde, die mit der Sache befasst ist, jederzeit und von Amtes wegen zu beachten (Urteil des Bundesgerichts 2C_596/2012 vom 1 9. März 2013 E. 2.1 ; BGE 127 II 48 mit Hinweisen) , wobei der Rechtsmangel festzustellen ist . 6.3 Da es sich bei der Verfügung vom 2 9. Januar 2024 ( Urk. 15/24) , welche in einem Bereich erlassen wurde, der in die Zuständigkeit des Schiedsgerichts fällt, nach Gesagtem um eine nichtige Verfügung handelt, erweist sich auch der diese ersetzende und</w:t>
      </w:r>
    </w:p>
    <w:p>
      <w:r>
        <w:t>an Stelle der Verfügung (BGE 133 V 50 E. 4.2.2 ; Urteil des Bun desgerichts</w:t>
      </w:r>
    </w:p>
    <w:p>
      <w:r>
        <w:t>8C_121/2009 vom 2 6. Juni 2009 E. 3.1 ) getretene</w:t>
      </w:r>
    </w:p>
    <w:p>
      <w:r>
        <w:t>Einsprache ent scheid vom 7. Juni 2024 ( Urk. 2), womit die Einsprache abgewiesen und die Ver fügung bestätigt wurde, als nichtig. 6.4 Nach Gesagtem erweisen sich sowohl die Verfügung vom 2 9. Januar 2024 (Urk.</w:t>
      </w:r>
    </w:p>
    <w:p>
      <w:r>
        <w:t>15/24) als auch der angefochtene Einspracheentscheid vom 7. Juni 2024 ( Urk. 2) als nichtig. Demzufolge ist auf die Beschwerde nicht einzutreten mit der Feststellung, dass die Verfügung vom 2 9. Januar 2024 und der Einspracheentscheid vom 7. Juni 2024 nichtig sind. Der Z.___ GmbH</w:t>
      </w:r>
    </w:p>
    <w:p>
      <w:r>
        <w:t>ist es indes unbenommen , beim kantonalen Schiedsgericht gemäss Art. 89 KVG Klage gegen die Beschwerde gegnerin zu erheben.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