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KV.2021.00019 vom 9. April 2022</w:t>
      </w:r>
    </w:p>
    <w:p>
      <w:r>
        <w:t>ZH Sozialversicherungsgericht, 2022-04-09, DE</w:t>
      </w:r>
    </w:p>
    <w:p>
      <w:r>
        <w:rPr>
          <w:b/>
        </w:rPr>
        <w:t xml:space="preserve">Quelle: </w:t>
      </w:r>
      <w:r>
        <w:t>https://mcp.opencaselaw.ch/entscheid/zh_sozialversicherungsgericht_KV.2021.00019</w:t>
      </w:r>
    </w:p>
    <w:p>
      <w:r>
        <w:t>FR: ZH_SOZIALVERSICHERUNGSGERICHT KV.2021.00019 du 9 avril 2022</w:t>
      </w:r>
    </w:p>
    <w:p>
      <w:r>
        <w:t>IT: ZH_SOZIALVERSICHERUNGSGERICHT KV.2021.00019 del 9 aprile 2022</w:t>
      </w:r>
    </w:p>
    <w:p>
      <w:pPr>
        <w:pStyle w:val="Heading2"/>
      </w:pPr>
      <w:r>
        <w:t>Erwägungen</w:t>
      </w:r>
    </w:p>
    <w:p>
      <w:r>
        <w:rPr>
          <w:b/>
        </w:rPr>
        <w:t>E. 1.1</w:t>
      </w:r>
    </w:p>
    <w:p>
      <w:r>
        <w:t>X.___ , geboren 1966, war ab dem 1. Januar 2011 bei der Avenir Krankenversicherung AG gemäss dem Bundesgesetz über die Kranken versicherung (KVG) gegen Krankheiten und Unfälle versichert (vgl. Urk. 10/3-4 und 10/6 ) , wobei sie mehrmals das Versicherungsmodell wechselte</w:t>
      </w:r>
    </w:p>
    <w:p>
      <w:r>
        <w:t>(vgl. Urk. 10/7 und 10/17-18).</w:t>
      </w:r>
    </w:p>
    <w:p>
      <w:r>
        <w:rPr>
          <w:b/>
        </w:rPr>
        <w:t>E. 1.2</w:t>
      </w:r>
    </w:p>
    <w:p>
      <w:r>
        <w:t>M it E-Mail vom 4. Juli 2019 informierte der Versicherer die Versicherte, dass die Betreibung N r. «1»</w:t>
      </w:r>
    </w:p>
    <w:p>
      <w:r>
        <w:t>( betreffend die Kostenbeteiligung Nr. «2» ) und die Betreibung Nr. «3»</w:t>
      </w:r>
    </w:p>
    <w:p>
      <w:r>
        <w:t>( betreffend die Prämien Oktober bis Dezember 2017 sowie die Kostenbeteiligung Nr.</w:t>
      </w:r>
    </w:p>
    <w:p>
      <w:r>
        <w:t>«4» ) noch offen und beim Betreibungsamt zu begleichen seien. Ebenfalls n och offen und auf das Konto des Versicherers zu überweisen sei die Prämie Juli 2019 von Fr. 380.9 0. Darüber hinaus bestünden Verlustscheine im Gesamtbetrag von Fr. 1'936.6 5. Dieser Betrag könne nach An frage nach eigenem Ermessen beglichen werden ( Urk. 10 /53). Am 8. Oktober 2019 stellte der Versicherer für die Versicherte eine Versicherungspolice für die obligatorische Krankenpflegeversicherung</w:t>
      </w:r>
    </w:p>
    <w:p>
      <w:r>
        <w:t>(OKP) für das Jahr 2020 aus ( Urk. 10/1 ) . Ferner liess er ihr am 2 4. Oktober 2019 einen Auszug der seit dem 1. Dezember 2014 übernommenen medizinischen Leistungen zukommen (Urk. 10/5</w:t>
      </w:r>
    </w:p>
    <w:p>
      <w:r>
        <w:rPr>
          <w:b/>
        </w:rPr>
        <w:t>E. 1.4</w:t>
      </w:r>
    </w:p>
    <w:p>
      <w:r>
        <w:t>Schliesslich stellte die A veni r Krankenversicherung AG mit Verfügung vom 28. Dezember 2020 fest, dass die Versicherte auch nach dem 1 3. September 2019 unverändert bei ihr für die OKP</w:t>
      </w:r>
    </w:p>
    <w:p>
      <w:r>
        <w:t>gemäss</w:t>
      </w:r>
    </w:p>
    <w:p>
      <w:r>
        <w:t>KVG versichert sei. Zudem trat sie infolge Verletzung der Mitwirkungspflicht nach Art. 28 Abs. 1 des Bundesgesetz es über den Allgemeinen Teil des Sozialversicherungsrechts (ATSG) nicht auf die Forderungen der Versicherten im Betrag von Fr. 118.80 und F r. 620. -- ein ( Urk. 10/74). Die von der Versicherten am 7. Januar 2021 dagegen erhobene Ein sprache ( Urk. 10/75) wies der Versicherer mit Entscheid vom 4. Februar 2021 ab ( Urk. 2). 2.</w:t>
      </w:r>
    </w:p>
    <w:p>
      <w:r>
        <w:t>Gegen den Einspracheentscheid vom 8. Februar 2021 (richtig: 4. Februar 2021, vgl.</w:t>
      </w:r>
    </w:p>
    <w:p>
      <w:r>
        <w:t>Urk. 11) erhob die Versicherte mit Eingabe vom 16.</w:t>
      </w:r>
    </w:p>
    <w:p>
      <w:r>
        <w:t>März 2021 Beschwerde. Darin beantragte sie sinngemäss , es seien alle Forderungen und Verfügungen der Avenir Krankenversicherung AG abzuweisen. Insbesondere verlangte sie die Auf hebung des angefochtenen Entscheids mit der Begrün dung, sie habe das Ver sicherungsverhältnis bei der Avenir Krankenversicherung AG per 13. September 2019 rechtsgültig gekündigt und schulde dieser nichts mehr, sondern habe viel mehr Anspruch auf Rückerstattung zu viel bezahlter Prämien ( Fr. 61</w:t>
      </w:r>
    </w:p>
    <w:p>
      <w:r>
        <w:rPr>
          <w:b/>
        </w:rPr>
        <w:t>E. 5</w:t>
      </w:r>
    </w:p>
    <w:p>
      <w:r>
        <w:t>). Mit Schreiben vom 2 5. Oktober 2019 setzte er sie zudem in Kennt nis, dass ihr Anspruch auf Prämienverbilligung für die Monate Januar bis Dezember 2019 von der kantonalen Behörde von bisher Fr. 4.50 auf Fr. 85.30 pro Monat erhöht worden sei. Ein Betrag zu ihren Gunsten würde mit den folgenden Prämienrechnungen verrechnet oder auf ihr Konto überwiesen ( Urk. 10/56). 1. 3</w:t>
      </w:r>
    </w:p>
    <w:p>
      <w:r>
        <w:t>In der Folg e retournierte die Versicherte mit</w:t>
      </w:r>
    </w:p>
    <w:p>
      <w:r>
        <w:t>Schreiben vom 3 1. Oktober 2019 die Krankenkassenpolice für das Jahr 2020 und erklärte, das V ertragsverhältnis wegen « Betrugs (infolge doppelt eink assierter Krankenkassenprämien) »</w:t>
      </w:r>
    </w:p>
    <w:p>
      <w:r>
        <w:t>per 13. September 2019 aufzulösen . Sie forderte , ihr die Prämienverbilligung für das Jahr 2019 sowie den « gestohlenen » Betrag von F r. 620 .-- zu erstatten (Urk. 10/57 ).</w:t>
      </w:r>
    </w:p>
    <w:p>
      <w:r>
        <w:t>Am 2 9. November 2019 wies der Versicherer sie schriftlich auf einen Ausstand von Fr. 428. 95 im Rahmen der Betreibung Nr. « 1 »</w:t>
      </w:r>
    </w:p>
    <w:p>
      <w:r>
        <w:t>hin</w:t>
      </w:r>
    </w:p>
    <w:p>
      <w:r>
        <w:t>( Urk. 10/58). Hierauf beharrte d ie Versicherte m it Schreiben vom 2 6. Dezember 2019 auf der Auflösung des V ertrages per 1 3. September 2019 und forderte</w:t>
      </w:r>
    </w:p>
    <w:p>
      <w:r>
        <w:t>– u nter Hinweis auf einen weiteren « Diebstahl per 4. November 2019 »</w:t>
      </w:r>
    </w:p>
    <w:p>
      <w:r>
        <w:t>im Betrag von Fr. 118.80 – insgesamt Fr. 738.80 nebst der Vergütung der Prämienverbilligung für Januar bis September 2019 von</w:t>
      </w:r>
    </w:p>
    <w:p>
      <w:r>
        <w:t>Fr. 85.30 pro Monat ( Urk. 10/59) . Der Versicherer liess ihr daraufhin am 8. Januar 2020 einen Kontoauszug zukommen, der einen A us stand von Fr. 3‘819.95 auswies</w:t>
      </w:r>
    </w:p>
    <w:p>
      <w:r>
        <w:t>( Urk. 10/60) . Zudem erläuterte er ihr</w:t>
      </w:r>
    </w:p>
    <w:p>
      <w:r>
        <w:t>am 25. Januar 2020</w:t>
      </w:r>
    </w:p>
    <w:p>
      <w:r>
        <w:t>schriftlich die Anrechnung der P rämienverbilligung</w:t>
      </w:r>
    </w:p>
    <w:p>
      <w:r>
        <w:t>für das Jahr 2019</w:t>
      </w:r>
    </w:p>
    <w:p>
      <w:r>
        <w:t>und bezifferte die A usstände im Rahmen von Verlustscheinen, Betreibung en und offene n Prämien. Abschliessend hielt er fest, der Vertrag bleibe bestehen, könne aber nach Bezahlung der Ausstände unter Einhaltung der dreimonatigen Kündigungsfrist auf Ende Kalenderjahr gekündigt werden (U rk. 10/61 ).</w:t>
      </w:r>
    </w:p>
    <w:p>
      <w:r>
        <w:t>In der Folge hielt die Versicherte</w:t>
      </w:r>
    </w:p>
    <w:p>
      <w:r>
        <w:t>an</w:t>
      </w:r>
    </w:p>
    <w:p>
      <w:r>
        <w:t>d er Vertragsauflösun g , d er Forderung von Fr. 738.80 sowie der Überweisung der Prämienverbilligung von Fr. 767.70</w:t>
      </w:r>
    </w:p>
    <w:p>
      <w:r>
        <w:t>an sie fest (Urk. 10/62, 10/66 , 10/69 , 10/71 und 10/73 ) und retournierte mit Schreiben vom 2 0. Oktober 2020 ( Urk. 10/71) die vom Versicherer am 8. Oktober 2020 aus gestellte Versicherungspolice für das Jahr 2021 ( Urk. 10/1) . Der Versicherer wies sie</w:t>
      </w:r>
    </w:p>
    <w:p>
      <w:r>
        <w:t>abermals auf das Verbot des Kassenwechsels vor Begleichung aller Ausstände hin . Diese listete er jeweils detailliert auf und machte ( ohne Anerkennung einer Rechtspflicht )</w:t>
      </w:r>
    </w:p>
    <w:p>
      <w:r>
        <w:t>Z ugeständnisse bezüglich Ma hn- und Betreibungskosten . Ferner ersuchte er die Versicherte, ihm die Zusammensetzung ihrer Forderung mitzu teilen und entsprechende Belege einzureichen ( Urk. 10/63 , 10/68 und</w:t>
      </w:r>
    </w:p>
    <w:p>
      <w:r>
        <w:t>10/70 ) . Ins besondere erinnerte der Versicherer die Versicherte</w:t>
      </w:r>
    </w:p>
    <w:p>
      <w:r>
        <w:t>mit Schreiben vom 18. November 2020 nochmals</w:t>
      </w:r>
    </w:p>
    <w:p>
      <w:r>
        <w:t>an die Ausstände, die sie vor einem Kassenwechsel Ende Jahr zu begleichen habe. Er fügte an, nie eine Abtretungserklärung eines Sozialdienstes erhalten zu haben ; auf Anfrage hätten die von ihr genannten Sozialdienste denn auch</w:t>
      </w:r>
    </w:p>
    <w:p>
      <w:r>
        <w:t>mitgeteilt , die Beträge zur Bezahlung der Prämien jeweils ihr ausbezahlt zu haben. Im gleichen Schreiben zeigte</w:t>
      </w:r>
    </w:p>
    <w:p>
      <w:r>
        <w:t>der Versicherer der Ver sicherten</w:t>
      </w:r>
    </w:p>
    <w:p>
      <w:r>
        <w:t>an, nicht auf ihre Forderungen von Fr. 118.80 und Fr. 620.-- einzu treten, sollte sie ihrer Mitwirkungspflicht bei der en Abklärung nicht innert 30 Tagen nachkommen ( Urk. 10/72).</w:t>
      </w:r>
    </w:p>
    <w:p>
      <w:r>
        <w:rPr>
          <w:b/>
        </w:rPr>
        <w:t>E. 9</w:t>
      </w:r>
    </w:p>
    <w:p>
      <w:r>
        <w:t>.10 per 1 3. September 2019 und Fr. 118.80 per 4. November 2019) sowie nachträglich ausbezahlter Prämienverbilligungen für das Jahr 201 9. In prozessualer Hinsicht ersuchte sie um Bestellung eines unentgeltlichen Rechtsvertreters (Urk. 1 ; Bei lagen Urk. 3/1-5 ).</w:t>
      </w:r>
    </w:p>
    <w:p>
      <w:r>
        <w:t>Mit Verfügung vom 2 4. März 2021 setzte das Gericht</w:t>
      </w:r>
    </w:p>
    <w:p>
      <w:r>
        <w:t>Frist zur Einreichung der Beschwerdeantwort an. Dabei wies es die Beschwerdeführerin i n den Erwägungen darauf hin, dass die Anwaltssuche ihre Aufgabe sei, zumal kein Grund zur Annahme bestehe, sie vermöge den Prozess nicht selbst zu führen ( Urk. 4). In der Beschwerdeantwort vom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