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KV.2020.00067 vom 9. April 2021</w:t>
      </w:r>
    </w:p>
    <w:p>
      <w:r>
        <w:t>ZH Sozialversicherungsgericht, 2021-04-09, DE</w:t>
      </w:r>
    </w:p>
    <w:p>
      <w:r>
        <w:rPr>
          <w:b/>
        </w:rPr>
        <w:t xml:space="preserve">Quelle: </w:t>
      </w:r>
      <w:r>
        <w:t>https://mcp.opencaselaw.ch/entscheid/zh_sozialversicherungsgericht_KV.2020.00067</w:t>
      </w:r>
    </w:p>
    <w:p>
      <w:r>
        <w:t>FR: ZH_SOZIALVERSICHERUNGSGERICHT KV.2020.00067 du 9 avril 2021</w:t>
      </w:r>
    </w:p>
    <w:p>
      <w:r>
        <w:t>IT: ZH_SOZIALVERSICHERUNGSGERICHT KV.2020.00067 del 9 aprile 2021</w:t>
      </w:r>
    </w:p>
    <w:p>
      <w:pPr>
        <w:pStyle w:val="Heading2"/>
      </w:pPr>
      <w:r>
        <w:t>Erwägungen</w:t>
      </w:r>
    </w:p>
    <w:p>
      <w:r>
        <w:rPr>
          <w:b/>
        </w:rPr>
        <w:t>E. 1.1</w:t>
      </w:r>
    </w:p>
    <w:p>
      <w:r>
        <w:t>Im Rahmen der obligatorischen Krankenpflegeversicherung (Art. 1 Abs. 1 des Bundes gesetzes über die Krankenversicherung; KVG) haben die anerkannten Kranken kassen (Art. 12 KVG) und die zugelassenen pri va ten Versicherungsein richtungen (Art. 13 KVG) als obligatorische Kranken pflege ver sicherer (Art. 11 KVG) unter anderem im Falle der Krankheit (Art. 1 Abs. 2 lit . a KVG) die Kosten für die Leistungen gemäss den Art. 25 - 31 KVG nach Mass gabe der in den Art. 32 34 KVG festgelegten Voraussetzungen zu über neh men (Art. 24 KVG).</w:t>
      </w:r>
    </w:p>
    <w:p>
      <w:r>
        <w:rPr>
          <w:b/>
        </w:rPr>
        <w:t>E. 1.2</w:t>
      </w:r>
    </w:p>
    <w:p>
      <w:r>
        <w:t>Bei Krankheit handelt es sich g emäss Art.</w:t>
      </w:r>
    </w:p>
    <w:p>
      <w:r>
        <w:rPr>
          <w:b/>
        </w:rPr>
        <w:t>E. 1.3</w:t>
      </w:r>
    </w:p>
    <w:p>
      <w:r>
        <w:t>) .</w:t>
      </w:r>
    </w:p>
    <w:p>
      <w:r>
        <w:rPr>
          <w:b/>
        </w:rPr>
        <w:t>E. 1.4</w:t>
      </w:r>
    </w:p>
    <w:p>
      <w:r>
        <w:t>Für die Vergütung von Leistungen, die der Diagnose oder Behandlung einer Krankheit und ihrer Folgen dienen und von Ärzten oder Chiropraktoren erbracht werden, gilt gemäss Art. 25 Abs. 1 KVG eine Pflichtleistungsvermutung. Dem nach wird vermutet, dass diese Leistungen den in Art. 32 Abs. 1 KVG festge schriebenen allgemeinen Vergütungskriterien der Wirksamkeit, Zweckmässigkeit und Wirtschaftlichkeit genügen. Die Pflichtleistungsvermutung kann im Einzel fall durch die jeweilige Krankenversicherung mittels Verfügung sowie gestützt auf Art. 33 Abs. 1 KVG durch den Verordnungsgeber in Form einer abschliessen den Negativliste umgestossen werden. Der Bundesrat hat in Art. 33 lit . a der Ver ordnung über die Krankenversicherung (KVV) das Eidgenössische Departement des Innern (EDI) ermächtigt, Ausnahmen von der Pflichtleistungsvermutung vor zusehen. Das EDI hat solche Ausnahmen in Anhang 1 zur Verordnung des EDI über Leistungen in der obligatorischen Krankenpflegeversicherung (KLV) festge legt. Für eine Reihe von Leistungsarten hat der Gesetzgeber demgegenüber das Listenprinzip verankert. Dies gilt namentlich für die nicht von Ärzten oder Ärz tinnen und Chiropraktoren oder Chiropraktorinnen erbrachten Leistungen, für Leis tungen der medizinischen Prävention, gewisse Leistungen bei Mutterschaft, zahn ärztliche Behandlungen sowie neue oder umstrittene Leistungen, deren Wirk samkeit, Zweckmässigkeit oder Wirtschaftlichkeit sich noch in Abklärung befindet (vgl. Art. 33 Abs. 2 und 3 KVG). In diesen Bereichen sind die Kosten vom Krankenversicherer grundsätzlich nur dann zu übernehmen, wenn die fragliche Leistung vom Verordnungsgeber auf einer Liste positiv aufgeführt ist (Positivlis ten), wobei der Bundesrat das EDI zum Erlass der Positivlisten ermächtigt hat (Art. 33 lit . b–d KVV).</w:t>
      </w:r>
    </w:p>
    <w:p>
      <w:r>
        <w:rPr>
          <w:b/>
        </w:rPr>
        <w:t>E. 1.5</w:t>
      </w:r>
    </w:p>
    <w:p>
      <w:r>
        <w:t>Arzneimittel sind gemäss Art. 4 Abs. 1 lit . a des Bundesgesetz es über Arzneimittel und Medizinprodukte (Heilmittelgesetz, HMG) «Produkte chemischen oder biolo gischen Ursprungs, die zur medizinischen Einwirkung auf den menschlichen oder tierischen Organismus bestimmt sind oder angepriesen werden, insbesondere zur Erkennung, Verhütung oder Behandlung von Krankheiten, Verletzungen und Behin derungen; zu den Arzneimitteln gehören auch Blut und Blutprodukte». Gemäss Art. 25 Abs. 2 lit . b KVG sind die ärztlich oder unter den vom Bundesrat bestimmten Voraussetzungen von Chiropraktoren oder Chiropraktorinnen ver ordneten Arzneimittel grundsätzlich von der obligatorische n Krankenpflegever sicherung zu übernehmen. Gemäss Art. 52 KVG gilt für die Vergütung von Arz neimitteln jedoch das Listenprinzip. Nach Art. 52 Abs. 1 lit . a KVG erlässt das EDI nach Anhören der zuständigen Kommissionen und unter Berücksichtigung der Grundsätze nach Art. 32 Abs. 1 und Art. 43 Abs. 6 KVG unter anderem eine Liste der in der Rezeptur verwendeten Präparate, Wirk- und Hilfsstoffe mit Tarif; dieser umfasst auch die Leistungen des Apothekers oder der Apothekerin</w:t>
      </w:r>
    </w:p>
    <w:p>
      <w:r>
        <w:t>( Art. 52 Abs. 1 lit . a Ziff. 1 KVG). Es handelt sich um die Arzneimittelliste mit Tarif (ALT), die als Anhang 4 zur KLV gehört.</w:t>
      </w:r>
    </w:p>
    <w:p>
      <w:r>
        <w:t>Demgegenüber erstellt das Bundesamt für Gesundheit (BAG) gestützt auf Art. 52 Abs. 1 lit . b KVG eine Liste der pharmazeutischen Speziali täten und konfektionierten Arzneimittel mit Preisen (Spezialitätenliste, SL). Art. 52 Abs. 3 KVG stellt klar, dass Arzneimittel höchstens nach den auf den entsprechenden Positivlisten vermerkten Tarifen, Preisen und Vergütungs an sätzen verrechnet werden dürfen. Gemäss Art. 73 KVV kann die Aufnahme in eine Liste und insbesondere auch in die Spezialitätenliste unter der Bedingung einer Limitierung erfolgen. Die Limitierung kann sich insbesondere auf die Menge oder die medizinischen Indikationen beziehen .</w:t>
      </w:r>
    </w:p>
    <w:p>
      <w:r>
        <w:rPr>
          <w:b/>
        </w:rPr>
        <w:t>E. 1.6</w:t>
      </w:r>
    </w:p>
    <w:p>
      <w:r>
        <w:t>Die für die SL geltenden Regeln finden teilweise auf die ALT sinngemäss Anwen dung ( Art. 63 Abs. 2 KVV betreffend Aufnahme in die ALT; §</w:t>
      </w:r>
    </w:p>
    <w:p>
      <w:r>
        <w:rPr>
          <w:b/>
        </w:rPr>
        <w:t>E. 1.7</w:t>
      </w:r>
    </w:p>
    <w:p>
      <w:r>
        <w:t>Ein Arzneimittel kann unter den in Art. 65 KVV statuierten Voraussetzungen, welche für die ALT sinngemäss gelten ( Art. 63 Abs. 2 KVV), in die SL aufge nommen werden. Steht es nicht auf der SL, kann es ausnahmsweise trotzdem durch die obligatorische Krankenpflegeversicherung vergütet werden, dies unter den Voraussetzungen des Art. 71b KVV, welche Bestimmung die Vergütung von nicht in die SL aufgenommenen Arzneimitteln im Einzelfall regelt.</w:t>
      </w:r>
    </w:p>
    <w:p>
      <w:r>
        <w:rPr>
          <w:b/>
        </w:rPr>
        <w:t>E. 1.8</w:t>
      </w:r>
    </w:p>
    <w:p>
      <w:r>
        <w:t>Bei einem patientenspezifisch hergestellt en</w:t>
      </w:r>
    </w:p>
    <w:p>
      <w:r>
        <w:t>Arzneimittel handelt es sich um eine sogenannte Magistralrezeptur ( Formula</w:t>
      </w:r>
    </w:p>
    <w:p>
      <w:r>
        <w:t>magistralis ). Diese ist in Art. 9 Abs. 2 lit . a HMG definiert als Arzneimittel, das in einer öffentlichen Apotheke oder in einer Spitalapotheke in Ausführung einer ärztlichen Verschreibung für eine bestimmte Person oder einen bestimmten Personenkreis hergestellt wird, wobei die Herstel lung ad hoc oder defekturmässig erfolgen kann (vgl. Urteil</w:t>
      </w:r>
    </w:p>
    <w:p>
      <w:r>
        <w:t>d es Bundesgerichts</w:t>
      </w:r>
    </w:p>
    <w:p>
      <w:r>
        <w:t>6B_526/2011 vom 2 0. März 2012 E. 1.3 ). Für Magistralrezepturen gilt die Beson derheit, dass sie keiner Zulassung durch Swissmedic bedürfen (Art.</w:t>
      </w:r>
    </w:p>
    <w:p>
      <w:r>
        <w:t>9 Abs. 2 Ingress HMG). Für die Erteilung der Herstellungsbewilligung und die Über wachung der Herstellerbetriebe sind die kantonalen Heilmittelinstitute zuständig. Magistralrezepturen dürfen nur auf ärztliche Verschreibung und unter Einhaltung der Regeln der Guten Herstellungspraxis für Arzneimittel in kleinen Mengen hergestellt werden ( Art. 26 HMG ). Magistralrezepturen</w:t>
      </w:r>
    </w:p>
    <w:p>
      <w:r>
        <w:t>dürfen in der Regel nur Wirk stoffe enthalten, welche in der ALT aufgeführt sind ( § 1 Abs. 2 der Allge meinen Bestimmungen zur ALT; BGE 144 333 E. 5.3 ). 2.</w:t>
      </w:r>
    </w:p>
    <w:p>
      <w:r>
        <w:rPr>
          <w:b/>
        </w:rPr>
        <w:t>E. 2</w:t>
      </w:r>
    </w:p>
    <w:p>
      <w:r>
        <w:t>1. September 2020 Beschwerde ( Urk. 1) und bean tragte sinn gemäss , dieser sei aufzu heben , es sei festzustellen, dass ein Anspruch auf Über nahme der Kosten einer Behandlung</w:t>
      </w:r>
    </w:p>
    <w:p>
      <w:r>
        <w:t>mit einem nach einer Magistralrezeptur hergestellten Medikamente im Sinne von Kapseln mit je 50 mg Progesteron und 0.2 mg Estradiol</w:t>
      </w:r>
    </w:p>
    <w:p>
      <w:r>
        <w:t>ausgewiesen sei, und es seien die ab 9. Juli 2019 bereits ange fallenen Kosten der Behandlung mit dem streitigen Medikament zu übernehmen (S. 1 ).</w:t>
      </w:r>
    </w:p>
    <w:p>
      <w:r>
        <w:t>Mit Beschwerdeantwort vom 1. Dezember 2020 (Urk. 8 ) beantragte die Avenir</w:t>
      </w:r>
    </w:p>
    <w:p>
      <w:r>
        <w:t>die Abweisung der Beschwerde , worauf mit Verfügung vom 9. Dezember 2020 (Urk. 11) ein zweiter Schriftenwechsel angeordnet wurde. Mit Eingabe vom 1 1. Januar 2021 ( Urk. 13) verzichtete der Beschwerdeführer auf eine erneute Stellung nahme, wovon der Beschwerde gegnerin am 1 3. Januar 2021 Kenntnis gegeben wurde (Urk. 14 ). Das Gericht zieht in Erwägung: 1.</w:t>
      </w:r>
    </w:p>
    <w:p>
      <w:r>
        <w:rPr>
          <w:b/>
        </w:rPr>
        <w:t>E. 2.1</w:t>
      </w:r>
    </w:p>
    <w:p>
      <w:r>
        <w:t>Die Beschwerdegegnerin ging im angefochtenen Einspracheentscheid vom 2 7. August 2020 (Urk. 2) davon aus, dass es sich bei der gesundheitlichen Beein trächtigung, unter welcher der Beschwerdefüh rer leide, nicht um eine behand lungsbedürftige</w:t>
      </w:r>
    </w:p>
    <w:p>
      <w:r>
        <w:t>Krankheit im Sinne der ICD , sondern um einen natürlichen und physiologischen Verlauf beim Manne handle. Ein solcher stelle keine versicherte Krankheit im Sinne von Art. 25 Abs. 1 KVG dar . Zudem handle es sich bei der</w:t>
      </w:r>
    </w:p>
    <w:p>
      <w:r>
        <w:t>Einnahme von Progesteron und Estradiol</w:t>
      </w:r>
    </w:p>
    <w:p>
      <w:r>
        <w:t>nicht um eine angemessene bezie hungs weise zweckmässige Behandlung (des männlichen Hypogonadismus des Beschwer deführers) im Sinne von Art. 32 Abs. 1 KVG, da der Beschwerdeführer diesbezügliche Laborwerte im Normalbereich aufgewiesen habe . Des Weiteren sei die Wirksamkeit einer Behandlung der streitigen Gesundheitsbeeinträchtigung mit Progesteron und Estradiol</w:t>
      </w:r>
    </w:p>
    <w:p>
      <w:r>
        <w:t>nicht erstellt. Mangels Zweckmässigkeit und Wirk samkeit handle es sich bei der streitigen medikamentösen Behandlung daher nicht um eine Pflichtleistung der obligatorischen Krankenpflegeversicherung, weshalb ein Anspruch auf Übernahme der Kosten derselben zu verneinen sei (S. 3).</w:t>
      </w:r>
    </w:p>
    <w:p>
      <w:r>
        <w:rPr>
          <w:b/>
        </w:rPr>
        <w:t>E. 2.2</w:t>
      </w:r>
    </w:p>
    <w:p>
      <w:r>
        <w:t>Der Beschwerdeführer bringt hi egegen vor, dass es sich bei der Verabreichung von Progesteron und Estradiol um eine anerkannte Behandlung der weiblichen Menopause handle, und dass diese Substanzen auch für Behandlung des Late -onset- Hypogonadism us</w:t>
      </w:r>
    </w:p>
    <w:p>
      <w:r>
        <w:t>des Mannes angezeigt seien . Die verwendeten Substan zen, Progesteron und Estradiol , seien sodann in der ALT gelistet . Zudem spreche der Umstand , dass der männliche Late-onset- Hypogonadism us</w:t>
      </w:r>
    </w:p>
    <w:p>
      <w:r>
        <w:t>- im Gegensatz zur Menopause der Frau - nicht in der ICD aufgeführt sei, nicht gegen eine Behandlung des Late- ons et - Hypogonadism beim Mann mit Progesteron und Estradiol . Sodann sei auf Grund wissen schaf tlicher Studien davon auszugehen, d ass humani dentische Hormone den chemisch abgewandelten Hormonderivaten überlegen seien ( Urk. 1 S. 3).</w:t>
      </w:r>
    </w:p>
    <w:p>
      <w:r>
        <w:rPr>
          <w:b/>
        </w:rPr>
        <w:t>E. 3</w:t>
      </w:r>
    </w:p>
    <w:p>
      <w:r>
        <w:t>der Allgemeinen Bestimmungen zur ALT). Als Positivlisten haben die ALT und die SL gleichzeitig abschliessenden und verbindlichen Charakter. Aufgrund des in Art. 34 Abs. 1 KVG verankerten Listenprinzips können die Krankenversicherer grundsätzlich nur die darin vorgesehenen Arzneimittel übernehmen (BGE 144 V 333 E. 3.2, 139 V 509 E. 4.1 und 136 V 395 E. 5.1).</w:t>
      </w:r>
    </w:p>
    <w:p>
      <w:r>
        <w:rPr>
          <w:b/>
        </w:rPr>
        <w:t>E. 3.1</w:t>
      </w:r>
    </w:p>
    <w:p>
      <w:r>
        <w:t>In seiner Stellungnahme vom 2 0. August 2019 ( Urk. 9/7) an den vertrauensärzt lichen Dienst der Beschwerdegegnerin stellte der Beschwerdeführer als behan delnder Arzt seiner selbst die folgende Diagnose ( Ziff. 2) : - Late</w:t>
      </w:r>
    </w:p>
    <w:p>
      <w:r>
        <w:t>onset male Hypogonadism</w:t>
      </w:r>
    </w:p>
    <w:p>
      <w:r>
        <w:t>Der Beschwerdeführer erwähnte , dass er unter Schweissausbrüchen, Schlafstö rungen, Haarausfall , Traurigkeit, Lebensunlust, trockenen Schleimhäuten und Libido verlust leide ( Ziff. 1). Die Behandlung mit Progesteron und Estradiol habe sowohl eine Verbesserung dieser Symptome als auch eine Prophylaxe von durch Hormonmangel verursachten degenerativen Erkrankungen zum Ziel</w:t>
      </w:r>
    </w:p>
    <w:p>
      <w:r>
        <w:t>( Ziff. 3).</w:t>
      </w:r>
    </w:p>
    <w:p>
      <w:r>
        <w:t>Dem beiliegenden Laborblatt ist zu entnehmen, dass der gesamte Testosteron spiegel beim Beschwerdeführer</w:t>
      </w:r>
    </w:p>
    <w:p>
      <w:r>
        <w:t>12.2</w:t>
      </w:r>
    </w:p>
    <w:p>
      <w:r>
        <w:t>-</w:t>
      </w:r>
    </w:p>
    <w:p>
      <w:r>
        <w:t>35.4</w:t>
      </w:r>
    </w:p>
    <w:p>
      <w:r>
        <w:t>nmol /L betr agen habe .</w:t>
      </w:r>
    </w:p>
    <w:p>
      <w:r>
        <w:rPr>
          <w:b/>
        </w:rPr>
        <w:t>E. 3.2</w:t>
      </w:r>
    </w:p>
    <w:p>
      <w:r>
        <w:t>Der Beschwerdeführer führte in seiner Stellungnahme vom 2 3. September 2019 ( Urk. 9/9) aus , dass es sich gemäss dem Expertenbrief Nr. 42 ( der Kommission Qualitätssicherung ) der Schweizerischen Gesellschaft für Gynäkologie und Geburts hilfe bei der Behandlung (der weiblichen Menopause) mit Progesteron und Estradiol</w:t>
      </w:r>
    </w:p>
    <w:p>
      <w:r>
        <w:t>um eine anerkannte monopausale Hormontherapie bei der Frau handle, und dass es sich bei dieser Behandlung auch um eine anerkannte Behandlung des männlichen Late-onset- Hypogonadism us beziehungsweise der Andropause beim Mann handle . Denn d iese Diagnose bezeichne den von einer nachlassenden Hormon produktion gekennzeichneten Lebensabschnitt beim Mann e und ent spreche dem Klimakterium bei der Frau. Da Progesteron und Estradiol in der ALT gelistet seien, handle es sich dabei um schulmedizinisch geprüfte Substanzen, welche von der Beschwerdegegnerin zu übernehmen seien .</w:t>
      </w:r>
    </w:p>
    <w:p>
      <w:r>
        <w:rPr>
          <w:b/>
        </w:rPr>
        <w:t>E. 3.3</w:t>
      </w:r>
    </w:p>
    <w:p>
      <w:r>
        <w:t>Der Beschwerdeführer führte in seiner Stellungnahme vom 4. Mai 2020 (Urk.</w:t>
      </w:r>
    </w:p>
    <w:p>
      <w:r>
        <w:t>9/16; Argumentation gegen die Ablehnung der verordneten Magistralre zeptur durch die Krankenkasse) aus, dass für die von Ärzt innen und Ärzten ver schriebenen und in der ALT gelisteten Arzneimittel eine gesetzliche Pflichtleis tungsvermutung gelte, und dass, wenn die Behandlung nicht durch das Gesetz ausgeschlossen sei (Negativliste nach Art. 33 KVG), die Krankenversicherer die Pflichtleistungsvermutung nur durch detaillierte Abklärungen im Einzelfall um stossen könnten (S. 1). Es bestehe zudem kein Vorrang für die in der SL gelisteten verwendungsfertigen Arzneimittel n gegenüber den Arzneimitteln, welche mit in der ALT gelisteten Substanzen im Rahmen von Magistralrezepturen hergestellt worden seien . Vielmehr obliege es den Ärztinnen und Ärzten im Rahmen der Therapiefreiheit zu entscheiden, welches Medikament sie verschrei ben möchten . Des Weiteren sei die Überlegenheit von humanidentischen Hormo nen im Ver gleich zu chemisch abgewandelten Hormonderivaten erstellt (S.</w:t>
      </w:r>
    </w:p>
    <w:p>
      <w:r>
        <w:t>2).</w:t>
      </w:r>
    </w:p>
    <w:p>
      <w:r>
        <w:rPr>
          <w:b/>
        </w:rPr>
        <w:t>E. 3.4</w:t>
      </w:r>
    </w:p>
    <w:p>
      <w:r>
        <w:t>Dr. med. Z.___ , Facharzt für Allgemeine Innere Medizin , Vertrauens arzt der Beschwerdegegnerin, stellte in seinem auf Grund der Akten verfassten Bericht vom 6. August 2020 ( Urk. 9/21) die folgenden Diagnosen (S. 1): - Late</w:t>
      </w:r>
    </w:p>
    <w:p>
      <w:r>
        <w:t>onset male Hypogonadism - Schweissausbrüche am Tag und in der Nacht - Schlafstörungen - Haarausfall - vermehrt Anfälle von Traurigkeit und Lebensunlust - trockene Schleimhäute - Libidoverlust</w:t>
      </w:r>
    </w:p>
    <w:p>
      <w:r>
        <w:t>Der Vertrauensarzt führte aus, dass die Voraussetzungen der Wirksamkeit, Zweckmässigkeit und Wirtschaftlichkeit (gemäss Art. 32 KVG) bei den vorlie genden Diagnose n</w:t>
      </w:r>
    </w:p>
    <w:p>
      <w:r>
        <w:t>und Symptomen nicht erfüllt seien . In erster Linie fehle eine klare medizinische Diagnose. Der Umstand, dass die männ lichen Hormone im Alter abfielen , sei physiologisch . Die Indikation für die</w:t>
      </w:r>
    </w:p>
    <w:p>
      <w:r>
        <w:t>streitige Magistralrezeptur mit Progesteron und Estradiol</w:t>
      </w:r>
    </w:p>
    <w:p>
      <w:r>
        <w:t>wäre bei einer Frau nach der Menopause gegeben, nicht jedoch bei einem Mann e . Eine Übernahme der vorliegenden Magistral rezeptur</w:t>
      </w:r>
    </w:p>
    <w:p>
      <w:r>
        <w:t>mit Progesteron und Estradiol</w:t>
      </w:r>
    </w:p>
    <w:p>
      <w:r>
        <w:t>durch die Krankenversicherung sei daher nicht möglich. Zudem handle es sich bei der Andropause</w:t>
      </w:r>
    </w:p>
    <w:p>
      <w:r>
        <w:t>beziehungsweise beim Late</w:t>
      </w:r>
    </w:p>
    <w:p>
      <w:r>
        <w:t>onset male Hypogonadism nicht um eine Krankheit im Sinne der ICD , sondern um ein en natürliche n , physiologische n Verlauf beim Manne, weshalb ein Anspruch auf Übernahme des streitigen Arzneimittels durch die obligatorische Krankenpflegeversicherung zu verneinen sei (S. 2) .</w:t>
      </w:r>
    </w:p>
    <w:p>
      <w:r>
        <w:rPr>
          <w:b/>
        </w:rPr>
        <w:t>E. 4.1</w:t>
      </w:r>
    </w:p>
    <w:p>
      <w:r>
        <w:t>In der ICD-10 (World Health Organisation, International Statistical Classification</w:t>
      </w:r>
    </w:p>
    <w:p>
      <w:r>
        <w:t>of</w:t>
      </w:r>
    </w:p>
    <w:p>
      <w:r>
        <w:t>Diseases</w:t>
      </w:r>
    </w:p>
    <w:p>
      <w:r>
        <w:t>a nd</w:t>
      </w:r>
    </w:p>
    <w:p>
      <w:r>
        <w:t>Related</w:t>
      </w:r>
    </w:p>
    <w:p>
      <w:r>
        <w:t>Health Problems) ist der durch eine testikuläre Unter funktion verursachte testikuläre</w:t>
      </w:r>
    </w:p>
    <w:p>
      <w:r>
        <w:t>Hypogonadismus (ICD-10 E29.1) und der durch eine Störung in der Hypophyse oder des Hypothalamus verursachte hypogona dotrope Hypogonadismus (ICD-10 E 23.0) aufgeführt, nicht hingegen der Hypo gonadismus des alternden Mannes</w:t>
      </w:r>
    </w:p>
    <w:p>
      <w:r>
        <w:t>( Late-onset-Hypogonadismus ), welcher auf eine nachlassende testikuläre Funktion im Alter zurückgeführt wird, und welcher durch erniedrigte Testosteronwerte und die damit in Verbindung stehenden Stö rungen charakterisiert ist ( https://de.wikipedia.org ).</w:t>
      </w:r>
    </w:p>
    <w:p>
      <w:r>
        <w:rPr>
          <w:b/>
        </w:rPr>
        <w:t>E. 4.2</w:t>
      </w:r>
    </w:p>
    <w:p>
      <w:r>
        <w:t>In der ALT (Ausgabe vom 1. April 2020; www.bag.admin.ch )</w:t>
      </w:r>
    </w:p>
    <w:p>
      <w:r>
        <w:t>sind « Estradiol</w:t>
      </w:r>
    </w:p>
    <w:p>
      <w:r>
        <w:t>hemihydrate</w:t>
      </w:r>
    </w:p>
    <w:p>
      <w:r>
        <w:t>Ph . Eur » und « Progesteronum</w:t>
      </w:r>
    </w:p>
    <w:p>
      <w:r>
        <w:t>Ph . Eur » als in Magistralrezepturen</w:t>
      </w:r>
    </w:p>
    <w:p>
      <w:r>
        <w:t>zu verwende nde Wirkstoffe gelistet.</w:t>
      </w:r>
    </w:p>
    <w:p>
      <w:r>
        <w:rPr>
          <w:b/>
        </w:rPr>
        <w:t>E. 4.3</w:t>
      </w:r>
    </w:p>
    <w:p>
      <w:r>
        <w:t>E. 4.5 ) handelt es sich bei der leitlini engerechten Behandlung des männlic hen Hypogonadismus</w:t>
      </w:r>
    </w:p>
    <w:p>
      <w:r>
        <w:t>von ( nicht über gewichtigen und nicht unter Komorbiditäten leidenden )</w:t>
      </w:r>
    </w:p>
    <w:p>
      <w:r>
        <w:t>hypogonadalen Männer n nicht um eine Behandlung mit Estradiol oder Progesteron ,</w:t>
      </w:r>
    </w:p>
    <w:p>
      <w:r>
        <w:t>sondern um ein e solche mit Testosteron, insbesondere mit Testosteronundecanoat ,</w:t>
      </w:r>
    </w:p>
    <w:p>
      <w:r>
        <w:t>mit Testosteroncypio nat und - enanthat</w:t>
      </w:r>
    </w:p>
    <w:p>
      <w:r>
        <w:t>und transdermale n Testosteronpräparate n.</w:t>
      </w:r>
    </w:p>
    <w:p>
      <w:r>
        <w:rPr>
          <w:b/>
        </w:rPr>
        <w:t>E. 4.4</w:t>
      </w:r>
    </w:p>
    <w:p>
      <w:r>
        <w:t>und E. 4.5 ) oder eines Bereichs von 8–12 nmol /L</w:t>
      </w:r>
    </w:p>
    <w:p>
      <w:r>
        <w:t>(vorstehend E.</w:t>
      </w:r>
    </w:p>
    <w:p>
      <w:r>
        <w:rPr>
          <w:b/>
        </w:rPr>
        <w:t>E. 4.5</w:t>
      </w:r>
    </w:p>
    <w:p>
      <w:r>
        <w:t>Gemäss der Guideline « Current National and International Guidelines for</w:t>
      </w:r>
    </w:p>
    <w:p>
      <w:r>
        <w:t>the Management of Male Hypogonadism : Helping</w:t>
      </w:r>
    </w:p>
    <w:p>
      <w:r>
        <w:t>Clinicians</w:t>
      </w:r>
    </w:p>
    <w:p>
      <w:r>
        <w:t>to</w:t>
      </w:r>
    </w:p>
    <w:p>
      <w:r>
        <w:t>Navigate Variation in Diagnostic</w:t>
      </w:r>
    </w:p>
    <w:p>
      <w:r>
        <w:t>Criteria</w:t>
      </w:r>
    </w:p>
    <w:p>
      <w:r>
        <w:t>and Treatment Recommendations » (T he Korean</w:t>
      </w:r>
    </w:p>
    <w:p>
      <w:r>
        <w:t>Endocrine Society , Korea;</w:t>
      </w:r>
    </w:p>
    <w:p>
      <w:r>
        <w:t>publiziert in: Endocrinol ogy</w:t>
      </w:r>
    </w:p>
    <w:p>
      <w:r>
        <w:t>and</w:t>
      </w:r>
    </w:p>
    <w:p>
      <w:r>
        <w:t>Metab olim , 2020, S. 526-540 ) , worin verschiedenen Guidelines, insbesondere diejenigen der International Society for Sexual Medicine ( 2015), der British Society for Sexual Medicine ( 2017 ) , der Canadian Medical Association ( 2015 ) ,</w:t>
      </w:r>
    </w:p>
    <w:p>
      <w:r>
        <w:t>der American Urological</w:t>
      </w:r>
    </w:p>
    <w:p>
      <w:r>
        <w:t>Association ( 2017 ) , der European Association</w:t>
      </w:r>
    </w:p>
    <w:p>
      <w:r>
        <w:t>of</w:t>
      </w:r>
    </w:p>
    <w:p>
      <w:r>
        <w:t>Urology ( 2018 ), der Endocrine Society ( 2018 ) und der Endocrine Society of</w:t>
      </w:r>
    </w:p>
    <w:p>
      <w:r>
        <w:t>Australia (2016) miteinander ver glichen wurden (S. 528) , werde von d en Guidelines der Internatio nal Society for Sexual Medicine , der British Society for Sexual Medicine und der European Association</w:t>
      </w:r>
    </w:p>
    <w:p>
      <w:r>
        <w:t>of</w:t>
      </w:r>
    </w:p>
    <w:p>
      <w:r>
        <w:t>Urology</w:t>
      </w:r>
    </w:p>
    <w:p>
      <w:r>
        <w:t>für die Diagnose eines männlichen Hypogondadismus</w:t>
      </w:r>
    </w:p>
    <w:p>
      <w:r>
        <w:t>und für eine Testosteronbehandlung vorausgesetzt, dass der am Morgen an zwei oder mehr , mindestens vier Wochen auseinanderliegenden Zeitpunkten gemessene gesamte Testosteronspiegel weniger als 8</w:t>
      </w:r>
    </w:p>
    <w:p>
      <w:r>
        <w:t>nmol /L betragen habe. Demgegenüber werde von der Guideline der American Urological</w:t>
      </w:r>
    </w:p>
    <w:p>
      <w:r>
        <w:t>Association ein höherer Wert von weniger als 9.2 nmol /L vorausgesetzt. Die Guideline der Endocrine Society gehe davon aus, dass der Normbereich des gesamten Testosteronspiegel s</w:t>
      </w:r>
    </w:p>
    <w:p>
      <w:r>
        <w:t>bei gesunde n, nicht übergewichtigen Männern zwischen 9.2 bis 31.8 nmol /L zu liegen komme, weshalb von einer unteren Grenze des Normbereichs von 9.2 nmol /L auszugehen sei. Die Guideline der Endocrine Society of</w:t>
      </w:r>
    </w:p>
    <w:p>
      <w:r>
        <w:t>Australia habe als einzige einen nach dem Alter abgestuften Normbereich vertreten. Danach komme die untere Grenze des Normbereich s des gesamten Testosteronspiegels bei gesun den Männern bis zum Alter von 35 Jahren bei 10.4 nmol /L und bei Männern über ein em Alter von 70 Jahren bei 6.4 nmol /L zu liegen (S. 530).</w:t>
      </w:r>
    </w:p>
    <w:p>
      <w:r>
        <w:rPr>
          <w:b/>
        </w:rPr>
        <w:t>E. 5.1</w:t>
      </w:r>
    </w:p>
    <w:p>
      <w:r>
        <w:t>Gemäss den erwähnten medizinischen Akten steht fest, dass der Beschwerde führer zwar unter gewissen Symptomen eines Hypog onadismus des alternden Mannes beziehungsweise eines Late-onset-Hypogonadismus litt, dass indes der gemessene gesamte Testosteronspiegel beim Beschwerdeführer in einem Bereich von 12.2</w:t>
      </w:r>
    </w:p>
    <w:p>
      <w:r>
        <w:t>-</w:t>
      </w:r>
    </w:p>
    <w:p>
      <w:r>
        <w:t>35.4 nmol /L zu liegen kam. Gemäss den erwähnten Guidelines zur Diagnose und Therapie des männlichen Hypogonadismus wird für die Diagnose eines solchen indes ein durchgängig niedriger Testosteronserumspiegel unterhalb eines gesamten Testosteronspiegels von 8 nmol / L, von 9.2 nmol / L (vorsehend E.</w:t>
      </w:r>
    </w:p>
    <w:p>
      <w:r>
        <w:rPr>
          <w:b/>
        </w:rPr>
        <w:t>E. 5.2</w:t>
      </w:r>
    </w:p>
    <w:p>
      <w:r>
        <w:t>Da der Beschwerdeführer ein en gesamte n Testosteronspiegel im Normbereich und nicht ein en durchgängig niedrigen gesamten</w:t>
      </w:r>
    </w:p>
    <w:p>
      <w:r>
        <w:t>Testosteronserumspiegel unter dem Normbereich aufwies , fehlte es ihm gemäss den erwähnten medizinischen Leit linien beziehungsweise Guidelines an einer der Voraussetzung en für die Stellung der Diagnose eines Hypogonadismus des alternden Mannes beziehungsweise eines Late-onset-Hypogonadismus . Unter diesen Umständen ist daher nicht zu beanstanden, dass die Beschwerdegegnerin im angefochtenen Einspracheent - scheid vom 2 7. August 2020 ( Urk. 2) gestützt auf die vertrauensärztliche Stellung nahme von Dr. Z.___ vom 5. August 2020 (vorstehend E. 3.4) davon aus ging, dass der Beschwerdeführer nicht unter einer versicherten, krankheits wer tigen, behandlungsbedürftigen</w:t>
      </w:r>
    </w:p>
    <w:p>
      <w:r>
        <w:t>Krankheit, sondern unter den Folgen eines natürlichen, physiologischen Alterungsprozesses leide. Denn der Beschwerde führer, welcher einen gesamten Testosteronspiegel im Norm al bereich aufwies, litt gemäss den erwähnten Leitlinien nicht unter einem behandlungsbedürftigen männlichen Hypogonadismus . Die dadurch verursachte g esundheitliche Beein trächtigung wies daher nicht das erforderliche Mindestmass für einen Krankheits wert auf. Demzufolge handelte es sich bei der streitigen gesundheitlichen Beein trächtigung des Beschwerdeführers nicht um eine Krankheit im Sinne von</w:t>
      </w:r>
    </w:p>
    <w:p>
      <w:r>
        <w:t>Art. 3 Abs. 1 ATSG in Verbindung mit Art. 1a Abs. 2 lit . a KVG .</w:t>
      </w:r>
    </w:p>
    <w:p>
      <w:r>
        <w:rPr>
          <w:b/>
        </w:rPr>
        <w:t>E. 6.1</w:t>
      </w:r>
    </w:p>
    <w:p>
      <w:r>
        <w:t>Des Weiteren hat die Schweizerische Gesellschaft für Gynäkologie und Geburts hilfe in ihrem Expertenbrief Nr. 42 vom 2 8. August 2015 «Aktuelle Empfehlungen zur Menopausalen Hormon-Therapie MHT)» (www.sggg.ch) zwar bei Frauen mit einem symptomatischen Estrogenmangel eine MHT im Sinne ei n e r Behandlung mit Estradiol und, insbesondere bei einem intaktem Uterus zum Schutz des Endometriums , allenfalls zusätzlich mit Progesteron oder einem synthetischen Gestagen , empfohlen (S. 1 f.). Diese Empfehlungen betr effen indes ausschliesslich die MHT bei Frauen und nicht die Behandlung des männlichen Hypogonadismus beziehungsweise diejenige des</w:t>
      </w:r>
    </w:p>
    <w:p>
      <w:r>
        <w:t>Late-onset-Hypogonadismus . Gemäss den erwähn ten Leitlinien (vorstehend E.</w:t>
      </w:r>
    </w:p>
    <w:p>
      <w:r>
        <w:rPr>
          <w:b/>
        </w:rPr>
        <w:t>E. 6.2</w:t>
      </w:r>
    </w:p>
    <w:p>
      <w:r>
        <w:t>Ein Anspruch des Beschwerdeführers auf Übernahme der Kosten eines im Rahmen einer Magistralrezeptur hergestellten Arzneimittels im Sinne von Kapseln mit Proges teron und Estradiol wäre daher selbst dann nicht ausgewiesen, wenn erstellt wäre, dass der Beschwerdeführer unter einem behandlungsbedürftigen</w:t>
      </w:r>
    </w:p>
    <w:p>
      <w:r>
        <w:t>Late-onset-Hypogonadismus von Krankheitswert litte. Denn bei einer Be hand lung mit Progesteron und Estradiol handelte es sich nicht um eine leitlinien gerechte ärztliche Behandlung eines männlichen Hypogonadismus . Demzufolge handelte es sich , selbst wenn erstellt wäre, dass der Beschwerdeführer unter einem behandlungsbedürftigen</w:t>
      </w:r>
    </w:p>
    <w:p>
      <w:r>
        <w:t>Late-onset-Hypogonadismus von Krankheitswert litte, bei der Behandlung mit dem streitigen Arzneimittel</w:t>
      </w:r>
    </w:p>
    <w:p>
      <w:r>
        <w:t>nicht um eine wirksame Behandlung . Denn die Wirksamkeit des streitigen Arzneimittels zur Beha n d lung eines männlichen Hypogonadismus</w:t>
      </w:r>
    </w:p>
    <w:p>
      <w:r>
        <w:t>ist nicht nach wissenschaftlichen Methoden im Sinne von Art. 32 Abs. 2 KVG nachgewiesen (vgl. vorstehend E.</w:t>
      </w:r>
    </w:p>
    <w:p>
      <w:r>
        <w:rPr>
          <w:b/>
        </w:rPr>
        <w:t>E. 6.3</w:t>
      </w:r>
    </w:p>
    <w:p>
      <w:r>
        <w:t>Auch das Erfordernis der Zweckmässigkeit ist nicht erfüllt. Selbst wenn erwiesen wäre, dass der Beschwerdeführer unter einem behandlungsbedürftigen</w:t>
      </w:r>
    </w:p>
    <w:p>
      <w:r>
        <w:t>und krank heitswertigen Leiden litte, bildet die Behandlung mit Estradiol und Proges teron k eine zweckmässige Behandlung eines Late-onset-Hypogonadismus</w:t>
      </w:r>
    </w:p>
    <w:p>
      <w:r>
        <w:t>im Sinne von Art. 32 Abs. 1 KVG .</w:t>
      </w:r>
    </w:p>
    <w:p>
      <w:r>
        <w:t>Denn bei der zweckmässigen Behandlung eines solchen Leidens handelte es sich gemäss den erwähnten Leitlinien (vorstehend E. 4.3 - E. 4.5) ausschliesslich um die Testosteronbehandlung.</w:t>
      </w:r>
    </w:p>
    <w:p>
      <w:r>
        <w:rPr>
          <w:b/>
        </w:rPr>
        <w:t>E. 6.4</w:t>
      </w:r>
    </w:p>
    <w:p>
      <w:r>
        <w:t>Zusammenfassend stellt die streitige Behandlung mit Estradiol und Progesteron</w:t>
      </w:r>
    </w:p>
    <w:p>
      <w:r>
        <w:t>k eine wirksame und zweckmässige Behandlung im Sinne von Art. 32 KVG dar.</w:t>
      </w:r>
    </w:p>
    <w:p>
      <w:r>
        <w:t>Daran ändert nichts, dass die Wirkstoffe « Estradiol</w:t>
      </w:r>
    </w:p>
    <w:p>
      <w:r>
        <w:t>hemihydrate</w:t>
      </w:r>
    </w:p>
    <w:p>
      <w:r>
        <w:t>Ph . Eur » und « Progesteronum</w:t>
      </w:r>
    </w:p>
    <w:p>
      <w:r>
        <w:t>Ph . Eur » in der ALT gelistet sind .</w:t>
      </w:r>
    </w:p>
    <w:p>
      <w:r>
        <w:t>Demzufolge ist die Beschwerde abzuweisen.</w:t>
      </w:r>
    </w:p>
    <w:p>
      <w:r>
        <w:t>Das Gericht erkennt: 1.</w:t>
      </w:r>
    </w:p>
    <w:p>
      <w:r>
        <w:t>Die Beschwerde wird abgewiesen. 2.</w:t>
      </w:r>
    </w:p>
    <w:p>
      <w:r>
        <w:t>Das Verfahren ist kostenlos. 3.</w:t>
      </w:r>
    </w:p>
    <w:p>
      <w:r>
        <w:t>Zustellung gegen Empfangsschein an: - X.___ - Avenir Assurance Maladie SA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