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KV.2019.00089 vom 25. Mai 2020</w:t>
      </w:r>
    </w:p>
    <w:p>
      <w:r>
        <w:t>ZH Sozialversicherungsgericht, 2020-05-25, DE</w:t>
      </w:r>
    </w:p>
    <w:p>
      <w:r>
        <w:rPr>
          <w:b/>
        </w:rPr>
        <w:t xml:space="preserve">Quelle: </w:t>
      </w:r>
      <w:r>
        <w:t>https://mcp.opencaselaw.ch/entscheid/zh_sozialversicherungsgericht_KV.2019.00089</w:t>
      </w:r>
    </w:p>
    <w:p>
      <w:r>
        <w:t>FR: ZH_SOZIALVERSICHERUNGSGERICHT KV.2019.00089 du 25 mai 2020</w:t>
      </w:r>
    </w:p>
    <w:p>
      <w:r>
        <w:t>IT: ZH_SOZIALVERSICHERUNGSGERICHT KV.2019.00089 del 25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hatte ihren Wohnsitz in der Gemeinde Y.___ , als sie am 7. Juli 2010 in das Alters- und Pflegeheim</w:t>
      </w:r>
    </w:p>
    <w:p>
      <w:r>
        <w:t>B.___ in der Gemeinde Z.___ eintrat (Urk. 1 S. 2, Urk. 2/1 S. 1, Urk.</w:t>
      </w:r>
    </w:p>
    <w:p>
      <w:r>
        <w:rPr>
          <w:b/>
        </w:rPr>
        <w:t>E. 3</w:t>
      </w:r>
    </w:p>
    <w:p>
      <w:r>
        <w:t>S. 1). Mit Schreiben vom 25. Februar 2019 ersuchte die Gemeinde Z.___</w:t>
      </w:r>
    </w:p>
    <w:p>
      <w:r>
        <w:t>die Gemeinde Y.___ , ihr die bisher geleisteten Restfinanzierungskosten im Umfang von Fr. 232'929.05 zurückzuerstatten (Urk. 10/3). Die Gemeinde Z.___</w:t>
      </w:r>
    </w:p>
    <w:p>
      <w:r>
        <w:t>teilte mit Schreiben vom 19. März 2019 mit, sie erachte sich für die Übernahme der Restfinanzierung nicht für zuständig (Urk. 10/4). Nachdem die Gemeinde Z.___</w:t>
      </w:r>
    </w:p>
    <w:p>
      <w:r>
        <w:t>mit Schreiben vom 1. April 2019 an ihrem Standpunkt festgehalten hatte (Urk. 10/6), beschloss deren Gemeinderat an der Sitzung vom 1 6. April 2019, die Beiträge zur Rest finanzierung der Pflegekosten von X.___ per 3 1. Dezember 2018 ein zustellen. Das Alters- und Pflegeheim B.___ wurde zur Rückerstattung der für den Monat Januar 2019 geleisteten Beiträge in der Höhe von Fr. 4'834.45 verpflichtet (Urk. 6/3, Urk. 10/7). Gegen diesen Entscheid legten die Gemeinde Y.___ mit Eingabe vom 1 1. Juni 2019 sowie die A.___</w:t>
      </w:r>
    </w:p>
    <w:p>
      <w:r>
        <w:t>für das Alters- und Pflegeheim B.___ mit Eingabe vom 5. Juni 2019 Einsprache bei der Gemeinde Z.___ ein (Urk. 6/2, Urk. 10/10-11). Mit Entscheid vom 5. November 2019 wies die Gemeinde Z.___ die Einsprachen ab. Einer allfälligen Beschwerde wurde die aufschiebende Wirkung entzogen (Urk. 2/1 [= Urk.</w:t>
      </w:r>
    </w:p>
    <w:p>
      <w:r>
        <w:rPr>
          <w:b/>
        </w:rPr>
        <w:t>E. 3.1</w:t>
      </w:r>
    </w:p>
    <w:p>
      <w:r>
        <w:t>Im angefochtenen Entscheid wurde erwogen, am 1. Januar 2019 sei eine neue Fassung des Art. 25a Abs.</w:t>
      </w:r>
    </w:p>
    <w:p>
      <w:r>
        <w:rPr>
          <w:b/>
        </w:rPr>
        <w:t>E. 3.2</w:t>
      </w:r>
    </w:p>
    <w:p>
      <w:r>
        <w:t>Demgegenüber macht die Beschwerdeführerin geltend, X.___ sei am 7. Juli 2010 ins Alters- und Pflegeheim B.___ eingetreten und habe damit zivilrechtlichen Wohnsitz in der Gemeinde Z.___ begründet. Als die Änderung des Art. 25a Abs.</w:t>
      </w:r>
    </w:p>
    <w:p>
      <w:r>
        <w:rPr>
          <w:b/>
        </w:rPr>
        <w:t>E. 5</w:t>
      </w:r>
    </w:p>
    <w:p>
      <w:r>
        <w:t>KVG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