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KV.2017.00026 vom 26. Juni 2017</w:t>
      </w:r>
    </w:p>
    <w:p>
      <w:r>
        <w:t>ZH Sozialversicherungsgericht, 2017-06-26, DE</w:t>
      </w:r>
    </w:p>
    <w:p>
      <w:r>
        <w:rPr>
          <w:b/>
        </w:rPr>
        <w:t xml:space="preserve">Quelle: </w:t>
      </w:r>
      <w:r>
        <w:t>https://mcp.opencaselaw.ch/entscheid/zh_sozialversicherungsgericht_KV.2017.00026</w:t>
      </w:r>
    </w:p>
    <w:p>
      <w:r>
        <w:t>FR: ZH_SOZIALVERSICHERUNGSGERICHT KV.2017.00026 du 26 juin 2017</w:t>
      </w:r>
    </w:p>
    <w:p>
      <w:r>
        <w:t>IT: ZH_SOZIALVERSICHERUNGSGERICHT KV.2017.00026 del 26 giugno 2017</w:t>
      </w:r>
    </w:p>
    <w:p>
      <w:pPr>
        <w:pStyle w:val="Heading2"/>
      </w:pPr>
      <w:r>
        <w:t>Erwägungen</w:t>
      </w:r>
    </w:p>
    <w:p>
      <w:r>
        <w:rPr>
          <w:b/>
        </w:rPr>
        <w:t>E. 1</w:t>
      </w:r>
    </w:p>
    <w:p>
      <w:r>
        <w:t>7. Januar 2017 erhobene Einsprache ( Urk. 8/5 = Urk. 8/7 ) wies die Gesundheitsdirektion mit Entscheid vom</w:t>
      </w:r>
    </w:p>
    <w:p>
      <w:r>
        <w:rPr>
          <w:b/>
        </w:rPr>
        <w:t>E. 1.2</w:t>
      </w:r>
    </w:p>
    <w:p>
      <w:r>
        <w:t>Nach Art. 1 Abs. 1 des auf der Grundlage des Art. 8 des FZA ausgearbeiteten und Bestandteil des Abkommens bildenden ( Art. 15 FZA) Anhangs II („Koordi nie rung der Systeme der sozialen Sicherheit") des FZA in Verbindung mit Ab schnitt A dieses Anhangs wenden die Vertragsparteien</w:t>
      </w:r>
    </w:p>
    <w:p>
      <w:r>
        <w:t>untereinander insbeson dere die Verordnung (EG) Nr. 883/2004 des Europäischen P arlaments und des Rates vom 2 9. April 2004 zur Koordinierung der Systeme der sozialen Sicher heit (kurz: VO 883/2004) und die Verordnung (EG) Nr. 987/2009 des Euro päi schen P arlaments und des Rates vom 1 6. September 2009 zur Festlegung der Modalitäten für die Durchführung der VO 883/2004 (kurz: VO 987/2009) oder gleichwertige Vorschriften an.</w:t>
      </w:r>
    </w:p>
    <w:p>
      <w:r>
        <w:rPr>
          <w:b/>
        </w:rPr>
        <w:t>E. 1.3</w:t>
      </w:r>
    </w:p>
    <w:p>
      <w:r>
        <w:t>Die beiden genannten gemeinschaftsrechtlichen Verordnungen sind für die Schweiz durch den Beschluss Nr. 1/2012 des Gemischten Ausschusses vom 3 1. März</w:t>
      </w:r>
    </w:p>
    <w:p>
      <w:r>
        <w:t>2012 zur Ersetzung des Anhangs II des Abkommens über die Koor di nie rung der Systeme der sozialen Sicherheit per 1. April 2012 in Kra ft getre ten (AS 2012 2345; vgl. BGE 138 V 533 E. 2.1 mit Hinweis) und in zeitlicher Hin sicht auf d en vorliegenden Fall anwendbar.</w:t>
      </w:r>
    </w:p>
    <w:p>
      <w:r>
        <w:t>In persönlicher Hinsicht sind das FZA beziehungsweise die darin als anwendbar erklärte VO 883/2004 anwendbar, da der Beschwerdeführer Staatsangehöriger der Republik Österreich und damit Staatsangehöriger eines Mitgliedstaates ist, für welche n die Rechtsvorschriften eines oder mehrerer Mitgliedstaaten gelten ( Art. 1 FZA, Art.</w:t>
      </w:r>
    </w:p>
    <w:p>
      <w:r>
        <w:rPr>
          <w:b/>
        </w:rPr>
        <w:t>E. 2</w:t>
      </w:r>
    </w:p>
    <w:p>
      <w:r>
        <w:t>Abs. 1 VO 883/2004).</w:t>
      </w:r>
    </w:p>
    <w:p>
      <w:r>
        <w:t>In sachlicher Hinsicht sind das FZA und die VO 883/2004 ebenfalls anwendbar, da Leistungen bei Kra nkheit im Sinne von Art.</w:t>
      </w:r>
    </w:p>
    <w:p>
      <w:r>
        <w:rPr>
          <w:b/>
        </w:rPr>
        <w:t>E. 2.2</w:t>
      </w:r>
    </w:p>
    <w:p>
      <w:r>
        <w:t>Der Titel II der VO 883/2004 umfasst unter der Überschrift „Bestimmung des anwe ndbaren Rechts“ die Art. 11-1 6. Gemäss</w:t>
      </w:r>
    </w:p>
    <w:p>
      <w:r>
        <w:t>Art. 11 Abs. 1 VO 883/2004 unterliegen Personen, für die diese Verordnung gilt, den Rechtsvorschriften nur eines Mitgliedstaats. Vorbehaltlich der in den Art. 12-16 VO 883/2004 gereg el ten Konstellationen, welche auf den Beschwerdeführer nicht zutreffen, bestimmt sich das anw endbare Recht nach Art. 11 Abs.</w:t>
      </w:r>
    </w:p>
    <w:p>
      <w:r>
        <w:rPr>
          <w:b/>
        </w:rPr>
        <w:t>E. 2.3</w:t>
      </w:r>
    </w:p>
    <w:p>
      <w:r>
        <w:t>Der Beschwerdeführer ist in der Schweiz erwerbstätig und somit unstreitig als Person zu qualifizieren, die im Sinne von Art. 11 Abs.</w:t>
      </w:r>
    </w:p>
    <w:p>
      <w:r>
        <w:rPr>
          <w:b/>
        </w:rPr>
        <w:t>E. 3</w:t>
      </w:r>
    </w:p>
    <w:p>
      <w:r>
        <w:t>.2</w:t>
      </w:r>
    </w:p>
    <w:p>
      <w:r>
        <w:t>Art. 1 der vom Bundesrat erlassenen</w:t>
      </w:r>
    </w:p>
    <w:p>
      <w:r>
        <w:t>Verordnung über die Krankenversicherung (KVV) präzisiert, dass Personen mit Wohnsitz in der Schweiz nach den Artikeln 23-2</w:t>
      </w:r>
    </w:p>
    <w:p>
      <w:r>
        <w:rPr>
          <w:b/>
        </w:rPr>
        <w:t>E. 6</w:t>
      </w:r>
    </w:p>
    <w:p>
      <w:r>
        <w:t>Abs. 1 KVV werden die Personenkategorien aufgezählt, die von vorn herein vom Versicherungsobligatorium ausgenommen sind. Sodann ist in Art. 2 Abs. 2-8 KVV die Möglichkeit für verschiedene Personenkategorien geregelt, auf Gesuch hin vom Versicherungsobligatorium befreit zu werden .</w:t>
      </w:r>
    </w:p>
    <w:p>
      <w:r>
        <w:t>Unter anderem ermöglicht Art. 2 Abs.</w:t>
      </w:r>
    </w:p>
    <w:p>
      <w:r>
        <w:rPr>
          <w:b/>
        </w:rPr>
        <w:t>E. 6.1</w:t>
      </w:r>
    </w:p>
    <w:p>
      <w:r>
        <w:t>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 wenn beispielsweise der Nach weis einer ausländischen freiwilligen privaten Versicherung allgemein als Befreiungsgrund akzeptiert würde (BGE 132 V 310 E.</w:t>
      </w:r>
    </w:p>
    <w:p>
      <w:r>
        <w:t>8.5.6). Der Zweck des Obli gatoriums besteht mithin nicht nur darin zu verhindern, dass infolge Fehlens einer Versicherung unter Umständen bei Risikoeintritt das Gemein we sen für höhere oder alle Kosten aufkommen muss, sondern er liegt auch darin, die Solidarität zwischen Gesunden und Kranken zu gewährleisten (BGE 132 V 310 E. 8.5.6 mit Hinwe is). Für die Anwendung von Art. 2 Abs.</w:t>
      </w:r>
    </w:p>
    <w:p>
      <w:r>
        <w:rPr>
          <w:b/>
        </w:rPr>
        <w:t>E. 6.2</w:t>
      </w:r>
    </w:p>
    <w:p>
      <w:r>
        <w:t>Wie die Beschwerdegegnerin zutreffend ausführte, hat der 1975 geborene Be schwer deführer die Altersgrenze, ab welcher anzunehmen ist, dass er sich nicht oder nur zu kaum tragbaren Beding ung en im bisherigen Umfang zusatzver si chern ka nn, noch nicht erreicht und lassen sich weder den Akten noch den Vor bringen des Beschwerdeführers Hinweise auf Krankheiten entnehmen, welche dem Abschluss bestimmter Zusatzversicherungen entgegenstehen könnten. In diesem Zusammenhang ist mit der Beschwerdegegnerin ( Urk. 7 S. 3 Ziff. 7) auch darauf hinzuweisen, dass der Beschwerdeführer</w:t>
      </w:r>
    </w:p>
    <w:p>
      <w:r>
        <w:t>im (ersten aktenkundigen ) Antrags formular zur Befreiung von der Krankenversicherungspflicht vom 2 8. Novem ber 2016 den Zusatz „und kann mich in der Schweiz aufgrund meines Alters (über 55 Jahre) und/oder Gesundheitszustandes nicht im bisherigen Umfang versichern“ gar explizit durchgestrichen hat ( Urk. 8/1/4 S. 2 oben).</w:t>
      </w:r>
    </w:p>
    <w:p>
      <w:r>
        <w:t>Nachdem die materiell-rechtlichen Befreiungsvoraussetzungen von</w:t>
      </w:r>
    </w:p>
    <w:p>
      <w:r>
        <w:t>Art. 2 Abs.</w:t>
      </w:r>
    </w:p>
    <w:p>
      <w:r>
        <w:rPr>
          <w:b/>
        </w:rPr>
        <w:t>E. 6.3</w:t>
      </w:r>
    </w:p>
    <w:p>
      <w:r>
        <w:t>Der Vollständigkeit halber sei darauf hingewiesen, dass die erste der restriktiv zu handhabenden Befreiungsvoraussetzung en von Art. 2 Abs.</w:t>
      </w:r>
    </w:p>
    <w:p>
      <w:r>
        <w:rPr>
          <w:b/>
        </w:rPr>
        <w:t>E. 8</w:t>
      </w:r>
    </w:p>
    <w:p>
      <w:r>
        <w:t>KVV (klare Verschlechterung des bisherigen Versicherungsschutzes oder der bisherigen Kostendeckung) nicht erfüllt ist. 7.</w:t>
      </w:r>
    </w:p>
    <w:p>
      <w:r>
        <w:t>Nach dem Gesagten hat die Beschwerdegegnerin den Beschwerdeführer zu Rec ht nicht vom schweizerischen Versicherungsobligatorium befreit. Der angefochtene Entscheid erweist sich somit als rechtens, weshalb die dagegen erhobene Be schwerde abzuweisen ist.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