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KV.2015.00061 vom 23. September 2016</w:t>
      </w:r>
    </w:p>
    <w:p>
      <w:r>
        <w:t>ZH Sozialversicherungsgericht, 2016-09-23, DE</w:t>
      </w:r>
    </w:p>
    <w:p>
      <w:r>
        <w:rPr>
          <w:b/>
        </w:rPr>
        <w:t xml:space="preserve">Quelle: </w:t>
      </w:r>
      <w:r>
        <w:t>https://mcp.opencaselaw.ch/entscheid/zh_sozialversicherungsgericht_KV.2015.00061</w:t>
      </w:r>
    </w:p>
    <w:p>
      <w:r>
        <w:t>FR: ZH_SOZIALVERSICHERUNGSGERICHT KV.2015.00061 du 23 septembre 2016</w:t>
      </w:r>
    </w:p>
    <w:p>
      <w:r>
        <w:t>IT: ZH_SOZIALVERSICHERUNGSGERICHT KV.2015.00061 del 23 settembre 2016</w:t>
      </w:r>
    </w:p>
    <w:p>
      <w:pPr>
        <w:pStyle w:val="Heading2"/>
      </w:pPr>
      <w:r>
        <w:t>Erwägungen</w:t>
      </w:r>
    </w:p>
    <w:p>
      <w:r>
        <w:rPr>
          <w:b/>
        </w:rPr>
        <w:t>E. 1</w:t>
      </w:r>
    </w:p>
    <w:p>
      <w:r>
        <w:t>Y.___ , geboren 19 23 und gestorben am 4. Januar 2015 , war bei der Kolping Krankenkasse AG (nachfolgend: Kolping ) obligator isch krankenpflege versichert ( Urk. 10/18 ).</w:t>
      </w:r>
    </w:p>
    <w:p>
      <w:r>
        <w:t>Mit Bedarfsmeldeformular vom 26 . Juni 2014 ersuchte die Spitex , gestützt auf den ärztlichen Auftrag von Dr. med. Z.___ , Facharzt für Allgemeine Innere Medizin, für die Zeit vom 1. Februar bis 1 . August 2014 um Kosten - gut sprache für Pflegeleistung en von voraussichtlich Total 500.6 Stunden (Urk. 10/2 ).</w:t>
      </w:r>
    </w:p>
    <w:p>
      <w:r>
        <w:t>Am 14. Juli 2014 er teil te di e Kolping für den Zeitraum vom 1. Februar bis 31. Juli 2014 Kostengutsprache und wies gleichzeitig darauf hin, dass ab 1. Au - gust 2014 für die Pflege zuhause nicht mehr übernommen werden könne, als wenn die Versicherte im Heim gepflegt würde und damit maximal Fr. 3‘ 285 .-- vergü tet würden ( Urk. 10/5) . Dies bestätigte die Kolping mit</w:t>
      </w:r>
    </w:p>
    <w:p>
      <w:r>
        <w:t>Verfügung vom</w:t>
      </w:r>
    </w:p>
    <w:p>
      <w:r>
        <w:rPr>
          <w:b/>
        </w:rPr>
        <w:t>E. 1.1</w:t>
      </w:r>
    </w:p>
    <w:p>
      <w:r>
        <w:t>Nach Art. 49 Abs. 1 des Bundesgesetzes über den Allgemeinen Teil des Sozial - ver sicherungsrechts (ATSG) hat der Versicherungsträger über Leistungen, Forderungen und Anordnungen, die erheblich sind oder mit denen die be troffene Person nicht einverstanden ist, schriftlich Verfügungen zu erlassen. Die Verfügungen werden gemäss Art. 49 Abs. 3 ATSG mit einer Rechtsmittelbeleh rung versehen (Satz 1), und sie sind zu begründen, wenn sie den Begehren der Parteien nicht voll entsprechen (Satz 2). Aus einer mangelhaften Eröffnung ei ner Verfügung darf der betroffenen Person kein Nachteil erwachsen (Satz 3).</w:t>
      </w:r>
    </w:p>
    <w:p>
      <w:r>
        <w:t>Leistungen, Forderungen und Anordnungen, die nicht unter Art. 49 Abs. 1 ATSG fallen, können gemäss Art. 51 Abs. 1 ATSG in einem formlosen Verfah ren behandelt werden, und die betroffene Person kann gemäss Art. 51 Abs. 2 ATSG den Erlass einer Verfügung verlangen.</w:t>
      </w:r>
    </w:p>
    <w:p>
      <w:r>
        <w:t>Gegen Verfügungen kann gemäss Art. 52 Abs. 1 ATSG innerhalb von 30 Tagen bei der verfügenden Stelle Einsprache erhoben werden. Art. 52 Abs. 2 ATSG bestimmt, dass die Einspracheentscheide innert angemessener Frist zu erlassen (Satz 1) und dass sie zu begründen sowie mit einer Rechtsmittelbelehrung zu versehen sind (Satz 2).</w:t>
      </w:r>
    </w:p>
    <w:p>
      <w:r>
        <w:t>Gemäss Art. 56 Abs. 1 ATSG kann gegen Einspracheentscheide Beschwerde erho ben werden, wobei gemäss Art. 57 ATSG jeder Kanton ein Versicherungs gericht als einzige Instanz zur Beurteilung von Beschwerden aus dem Bereich der Sozialversicherung bestellt.</w:t>
      </w:r>
    </w:p>
    <w:p>
      <w:r>
        <w:rPr>
          <w:b/>
        </w:rPr>
        <w:t>E. 1.2</w:t>
      </w:r>
    </w:p>
    <w:p>
      <w:r>
        <w:t>) entspricht.</w:t>
      </w:r>
    </w:p>
    <w:p>
      <w:r>
        <w:rPr>
          <w:b/>
        </w:rPr>
        <w:t>E. 4</w:t>
      </w:r>
    </w:p>
    <w:p>
      <w:r>
        <w:t>.</w:t>
      </w:r>
    </w:p>
    <w:p>
      <w:r>
        <w:t>A ufgrund des Gesagten sind der angefochtene Einspracheentscheid vom 8. Juni 2015 ( Urk. 2) infolge Rechtsmissbräuchlichkeit und der Einspracheentscheid vom 1 5. Januar 2015 ( Urk. 10/10) infolge Verletzung des rechtlichen Gehörs aufzuheben, und die Beschwerde wird in dem Sinne gutgeheissen , als die Sache an die Beschwerdegegnerin zurückgewiesen wird , damit sie entweder die vom Beschwerdeführer</w:t>
      </w:r>
    </w:p>
    <w:p>
      <w:r>
        <w:t>betragsmässig spezifizierten</w:t>
      </w:r>
    </w:p>
    <w:p>
      <w:r>
        <w:t>Spitexleistungen übernehme oder unter Berücksichtigung der massgebenden</w:t>
      </w:r>
    </w:p>
    <w:p>
      <w:r>
        <w:t>rechtsprechungsgemässen Kriter i en (vorstehend E. 3)</w:t>
      </w:r>
    </w:p>
    <w:p>
      <w:r>
        <w:t>einen Einspracheentscheid erlasse, welcher den Anforderungen an die Begründungspflicht (vgl. vorstehend E.</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 - halten; der angefochtene Entscheid sowie die als Beweismittel angerufenen Ur kunden sind beizulegen, soweit die Partei sie in Händen hat ( Art. 42 BGG). Sozialversicherungsgericht des Kantons Zürich Der EinzelrichterDie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