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KV.2014.00070 vom 29. April 2016</w:t>
      </w:r>
    </w:p>
    <w:p>
      <w:r>
        <w:t>ZH Sozialversicherungsgericht, 2016-04-29, DE</w:t>
      </w:r>
    </w:p>
    <w:p>
      <w:r>
        <w:rPr>
          <w:b/>
        </w:rPr>
        <w:t xml:space="preserve">Quelle: </w:t>
      </w:r>
      <w:r>
        <w:t>https://mcp.opencaselaw.ch/entscheid/zh_sozialversicherungsgericht_KV.2014.00070</w:t>
      </w:r>
    </w:p>
    <w:p>
      <w:r>
        <w:t>FR: ZH_SOZIALVERSICHERUNGSGERICHT KV.2014.00070 du 29 avril 2016</w:t>
      </w:r>
    </w:p>
    <w:p>
      <w:r>
        <w:t>IT: ZH_SOZIALVERSICHERUNGSGERICHT KV.2014.00070 del 29 aprile 2016</w:t>
      </w:r>
    </w:p>
    <w:p>
      <w:pPr>
        <w:pStyle w:val="Heading2"/>
      </w:pPr>
      <w:r>
        <w:t>Erwägungen</w:t>
      </w:r>
    </w:p>
    <w:p>
      <w:r>
        <w:rPr>
          <w:b/>
        </w:rPr>
        <w:t>E. 1</w:t>
      </w:r>
    </w:p>
    <w:p>
      <w:r>
        <w:t>Der 1955 geborene X.___ arbeitete ab September 2007 als Schweisser/Baufacharbeiter bei de r</w:t>
      </w:r>
    </w:p>
    <w:p>
      <w:r>
        <w:t>Y.___ , welche bei der Helsana Versicherungen AG für ihre Arbeitnehmer eine Kollektiv- Taggeldversicherung nach dem Bundesgesetz über die Krankenversicherung (KVG) führt (vgl. Urk.</w:t>
      </w:r>
    </w:p>
    <w:p>
      <w:r>
        <w:rPr>
          <w:b/>
        </w:rPr>
        <w:t>E. 2</w:t>
      </w:r>
    </w:p>
    <w:p>
      <w:r>
        <w:t>Im Streite steht die Einstellung der Ta ggeld leistungen per 30. April 2014.</w:t>
      </w:r>
    </w:p>
    <w:p>
      <w:r>
        <w:t>Die Beschwerdegegnerin hat im angefochtenen Entscheid unter den Erwägun gen II Ziffer 1 bis 4 die für die Beurteilung des Anspruchs auf Leistungen der freiwilligen Taggeldversicherung nach KVG massgeblichen rechtlichen Grund lagen (Art. 6 des Bundesgesetzes über den Allgemeinen Teil des Sozialversi cherungsrechts [ATSG] , Art. 67</w:t>
      </w:r>
    </w:p>
    <w:p>
      <w:r>
        <w:t>ff. KVG ) sowie di e diesbezügliche Recht sprechung zutreffend dargelegt. Darauf wird ebenso verwiesen, wie auf die zutreffenden Ausführungen zur Schadenminderungspflicht gemä ss Art. 21</w:t>
      </w:r>
    </w:p>
    <w:p>
      <w:r>
        <w:t>Abs.</w:t>
      </w:r>
    </w:p>
    <w:p>
      <w:r>
        <w:rPr>
          <w:b/>
        </w:rPr>
        <w:t>E. 4</w:t>
      </w:r>
    </w:p>
    <w:p>
      <w:r>
        <w:t>ATSG und auf die Rechtsprechung zur vom Taggeldversicherer einzu räumenden Übergangsfrist von in der Regel drei bis fünf Monaten sowie auf die zitierte höchstricht er liche Rechtsprechung zum Beweiswert eines ärztlichen Berichtes und zum Koordinationsgebot zwischen den verschiedenen Sozialversi cherungen ( Urk. 2 Erwägung II Ziffer 5 bis 7). 3. 3.1</w:t>
      </w:r>
    </w:p>
    <w:p>
      <w:r>
        <w:t>Die Beschwerdegegnerin begründete die Einstellung der Taggeldleistungen per Ende April 2014 im angefochtenen Entscheid im We sentlichen gestützt auf ein von der IV-Stelle eingeholtes Gutachten von Dr. med. Z.___ , Fachärztin FMH für Innere Medizin, speziell Rheumaerkrankungen, und von Prof. Dr. med. habil. A.___ , Facharzt FMH für Neurologie sowie Psychiatrie und Psycho therapie (vgl. aus den Akten des Verfahrens I V.2014.00929 beigezogenes Gut achten vom 2 5. Oktober respektive 2. und 1 8. Dezember 2012 , Urk. 29) und schloss gestützt darauf sowie auf die Beurteilung der Vertrauensärztin Dr. B.___ vom 9. Januar 2014 ( Urk. 11/14), dass der Beschwerdeführer zwar nicht mehr in der angestammten, jedoch in einer leidensangepassten Tätigkeit zu 100 % arbe itsfähig sei. Der Einkommensvergleich führe zu einer Erwerbsein busse von 24,31 % . Da erst ab einer Erwerbseinbusse von 25 % ein Leistungs anspruch bestehe, seien die Taggelder unter Einräumung einer Übergangsfrist bis Ende April 2014 per 1. Mai 2014 einzustellen ( Urk. 2 ) 3.2</w:t>
      </w:r>
    </w:p>
    <w:p>
      <w:r>
        <w:t>Der Beschwerdeführer lässt im Wesentlichen dagegen ausführen , dass für die Beu rteilung der Zumutbarkeit nicht auf das Gutachten A.___ / Z.___ abgestellt werden könne , berücksichtige dasselbe doch weder die festgestellte Rotatorenmanschettenruptur rechts, noch sei das psychiatrische Teilgutachten für die Beurteilung der Erwerbseinbusse im hier massgeblichen konkreten Arbeitsmarkt beweiskräftig ( Urk. 7). Nach Einreichung der Beschwerde im Ver fahren IV.2014.00929 liess der Beschwerdeführer unter Bezugnahme auf seine diesbezüglichen Vorbringen um Sistierung des vorliegenden Verfahrens ersuchen ( Urk. 20).</w:t>
      </w:r>
    </w:p>
    <w:p>
      <w:r>
        <w:rPr>
          <w:b/>
        </w:rPr>
        <w:t>E. 4.1</w:t>
      </w:r>
    </w:p>
    <w:p>
      <w:r>
        <w:t>Die gerichtliche Würdigung der medizinischen Aktenlage im Urteil IV.2014.00929 vom 1 2. Februar 2016 und dabei insbesondere des von der IV-Stelle ebenfalls als massgeblich erachteten Gutachtens von Dr. Z.___ und Dr. A.___ führte unter Erwägung 4.2 zum Schluss, dass weder auf das psychiatrisch e Teilgutachten von Dr. A.___ noch auf das Gutachten der Rheumatologin</w:t>
      </w:r>
    </w:p>
    <w:p>
      <w:r>
        <w:t>Dr. Z.___ abgestellt werden kann . Dabei fiel insbesondere ins Gewicht, dass Dr. Z.___ der sich a us den Akten ergebenden Schulter problematik rechts keinerlei Bedeutung beimass und sich zudem in ungenügen der Weise mit den Verschleisserscheinungen im Lendenwirbelsäulenbereich aus einandersetzte.</w:t>
      </w:r>
    </w:p>
    <w:p>
      <w:r>
        <w:t>Auch an der psychiatrische n Beurteilung drängten sich unter anderem aufgrund einer Namensverwechslung und der fehlenden Nachvollziehbarkeit respektive der ungenügenden Begründung der diagnostizierten Anpassungsstörung diverse Zweifel auf. Letztlich fehlte es dem von der IV-Stelle eingeholten Gutachten zudem an einer bidisziplinären Beurteilung.</w:t>
      </w:r>
    </w:p>
    <w:p>
      <w:r>
        <w:t>Da auch die übrige medizinische Aktenlage a ngesicht s der erheblich divergieren den Meinungen der behandelnden Ärzte zur Einschätzung von Dr. Z.___ und Dr. A.___ keinen abschliessenden Schluss zuliess, wurde die Sache im Verfahren IV.2014.00929 zur Einholung eines bisdiszipl inären (orthopädischen/psychiatrischen) Gutachtens und neuerlichem Entscheid an die IV-Stelle zurückgewiesen.</w:t>
      </w:r>
    </w:p>
    <w:p>
      <w:r>
        <w:rPr>
          <w:b/>
        </w:rPr>
        <w:t>E. 4.2</w:t>
      </w:r>
    </w:p>
    <w:p>
      <w:r>
        <w:t>Die Beschwerdegegnerin stützte ihre Leistungseinstellung ganz wesentlich auf die Zumutbarkeitsbeurteilung von Dr. A.___ und Dr. Z.___</w:t>
      </w:r>
    </w:p>
    <w:p>
      <w:r>
        <w:t>und erklärte den Entscheid über den Beweiswert dieses</w:t>
      </w:r>
    </w:p>
    <w:p>
      <w:r>
        <w:t>Gutachtens für den hier zu beurtei lenden Prozess als ausschlaggebend (vgl. unter anderem Urk. 25 S. 3). Ange sichts der Rückweisung im Verfahren IV.2014.00929 und des Umstandes, dass sich in den Akten der Beschwerdegegnerin abgesehen von der vertrauensärztli chen Beurteilung vom 9. Januar 2014 , welche ihrerseits einzig auf dem Gut achten von Dr. A.___ und Dr. Z.___ basierte (vgl. Urk. 11/14), keine nicht bereits im Verfahren IV.2014.00929 gewürdigten ärztlichen Unterlagen zur Verfügung stehen, erweist sich auch dieses Verfahren nicht als spruchreif . Die Sache ist unter Verweis auf die Ausführungen unter Erwägung 4.2 im Urteil IV.2014.00929 vom 12. Februar 2016 zu ergänzenden Abklärungen und neuer lichem Entscheid über den Taggeldanspruch ab 1. Mai 2014 an die Beschwerde gegnerin zurückzuweisen . Ob d ie Beschwerdegegnerin in Nachachtung ihrer Abklärungspflicht ( Art. 43 ATSG) ihrerseits ein bidisziplinäres Gutachten (orthopädisch/psychiatrisch) in Auftrag gibt oder sich den Abklärungsmass nahmen der IV-Stelle anschliesst, bleibt ihr überlassen.</w:t>
      </w:r>
    </w:p>
    <w:p>
      <w:r>
        <w:t>Die Beschwerde ist in diesem Sinne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