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KV.2012.00009 vom 29. Juni 2012</w:t>
      </w:r>
    </w:p>
    <w:p>
      <w:r>
        <w:t>ZH Sozialversicherungsgericht, 2012-06-29, DE</w:t>
      </w:r>
    </w:p>
    <w:p>
      <w:r>
        <w:rPr>
          <w:b/>
        </w:rPr>
        <w:t xml:space="preserve">Quelle: </w:t>
      </w:r>
      <w:r>
        <w:t>https://mcp.opencaselaw.ch/entscheid/zh_sozialversicherungsgericht_KV.2012.00009</w:t>
      </w:r>
    </w:p>
    <w:p>
      <w:r>
        <w:t>FR: ZH_SOZIALVERSICHERUNGSGERICHT KV.2012.00009 du 29 juin 2012</w:t>
      </w:r>
    </w:p>
    <w:p>
      <w:r>
        <w:t>IT: ZH_SOZIALVERSICHERUNGSGERICHT KV.2012.00009 del 29 giugno 2012</w:t>
      </w:r>
    </w:p>
    <w:p>
      <w:pPr>
        <w:pStyle w:val="Heading2"/>
      </w:pPr>
      <w:r>
        <w:t>Erwägungen</w:t>
      </w:r>
    </w:p>
    <w:p>
      <w:r>
        <w:rPr>
          <w:b/>
        </w:rPr>
        <w:t>E. 1</w:t>
      </w:r>
    </w:p>
    <w:p>
      <w:r>
        <w:t>1.1Â Â Â Â  Nach Art. 61 Abs. 1 Satz 1 des Bundesgesetzes Ã¼ber die Krankenversicherung (KVG) legt der Versicherer die PrÃ¤mien fest.</w:t>
      </w:r>
    </w:p>
    <w:p>
      <w:r>
        <w:t>Â Â Â Â Â Â Â Â  Die PrÃ¤mientarife der obligatorischen Krankenpflegeversicherung bedÃ¼rfen nach Art. 61 Abs. 5 KVG der Genehmigung durch den Bundesrat. Vor der Genehmigung kÃ¶nnen die Kantone zu den fÃ¼r ihre BevÃ¶lkerung vorgesehenen PrÃ¤mientarifen Stellung nehmen, wobei das Genehmigungsverfahren dadurch nicht verzÃ¶gert werden darf. Art. 92 der Verordnung Ã¼ber die Krankenversicherung (KVV) enthÃ¤lt AusfÃ¼hrungsbestimmungen zur PrÃ¤miengenehmigung. Abs. 2 dieser Bestimmung schreibt vor, dass die Versicherer dem Bundesamt fÃ¼r Gesundheit (BAG) zusammen mit den zu genehmigenden PrÃ¤mientarifen die Budgets (Bilanz und Betriebsrechnung) des laufenden und des folgenden GeschÃ¤ftsjahres vorzulegen haben.</w:t>
      </w:r>
    </w:p>
    <w:p>
      <w:r>
        <w:t>Â Â Â Â Â Â Â Â  Nach der hÃ¶chstrichterlichen Rechtsprechung darf es einer versicherten Person nicht verwehrt werden, die RechtmÃ¤ssigkeit einer Tarifklausel der obligatorischen Krankenpflegeversicherung, die sie persÃ¶nlich betrifft, gerichtlich Ã¼berprÃ¼fen zu lassen (BGE 131 V 66). Die Genehmigung der PrÃ¤mientarife durch das BAG begrÃ¼ndet jedoch rechtsprechungsgemÃ¤ss die Vermutung, dass die betreffenden Tarife angemessen sind, und die versicherte Person kann diese Vermutung nur durch den strikten Beweis des Gegenteils widerlegen (BGE 135 V 39). Es obliegt demnach der versicherten Person, zu erlÃ¤utern, inwiefern die umstrittene Tarifklausel Bundesrecht verletzt, und das Gericht darf einer Tarifklausel die GÃ¼ltigkeit nur bei schwerer Regelwidrigkeit, welche eine erhebliche Korrektur der PrÃ¤mienhÃ¶he nach sich zieht, versagen (BGE 135 V 39; Urteil des Bundesgerichts 9C_707/2009 vom 18. Dezember 2009, E. 2.2.2).</w:t>
      </w:r>
    </w:p>
    <w:p>
      <w:r>
        <w:t>1.2Â Â Â Â  In Art. 64a KVG, in Art. 90 KVV und in Art. 105a-e KVV (in den vorliegend anwendbaren, bis Ende 2011 gÃ¼ltig gewesenen Fassungen) werden die PrÃ¤mienerhebung und die Folgen des Zahlungsverzugs geregelt.</w:t>
      </w:r>
    </w:p>
    <w:p>
      <w:r>
        <w:t>Â Â Â Â Â Â Â Â  Die PrÃ¤mien sind gemÃ¤ss Art. 90 KVV im Voraus und in der Regel monatlich zu bezahlen. Ausstehende PrÃ¤mien und Kostenbeteiligungen sind zu mahnen und in Betreibung zu setzen (Art. 64a Abs. 1 KVG, Art. 105b KVV). Sodann hat der Versicherer nach Art. 64a Abs. 2 KVG die MÃ¶glichkeit, die KostenÃ¼bernahme fÃ¼r die Leistungen unter gleichzeitiger Benachrichtigung der zustÃ¤ndigen kantonalen Stelle aufzuschieben, wenn im Betreibungsverfahren ein Fortsetzungsbegehren gestellt worden ist. Ferner kÃ¶nnen sÃ¤umige Versicherte den Versicherer gestÃ¼tzt auf Art. 64a Abs. 4 KVG nicht mehr wechseln, solange die ausstehenden PrÃ¤mien, Kostenbeteiligungen, Verzugszinse und Betreibungskosten nicht vollstÃ¤ndig bezahlt sind.</w:t>
      </w:r>
    </w:p>
    <w:p>
      <w:r>
        <w:rPr>
          <w:b/>
        </w:rPr>
        <w:t>E. 2</w:t>
      </w:r>
    </w:p>
    <w:p>
      <w:r>
        <w:t>2.1Â Â Â Â  Aus den Unterlagen, welche die Beschwerdegegnerin im vorliegenden Verfahren eingereicht hat (Urk. 9/1-8), ist ersichtlich, wie sich die PrÃ¤mienforderungen von Fr. 1'059.00 des Zeitraums Juli bis Dezember 2010 und von Fr. 1'261.50 der ZeitrÃ¤ume Januar bis Juni 2009 und Januar bis Juni 2011 zusammensetzen. Die PrÃ¤mienforderung von Fr. 1'059.00 besteht in den sechs MonatsprÃ¤mien fÃ¼r die Monate Juli bis Dezember 2010 Ã  Fr. 176.50 (Fr. 183.30 abzÃ¼glich die jeweilige RÃ¼ckerstattung der Umweltabgabe von Fr. 6.80; Urk. 9/2 S. 1 und Urk. 9/3); die PrÃ¤mienforderung von Fr. 1'261.50 besteht zum einen in den sechs MonatsprÃ¤mien fÃ¼r die Monate Januar bis Juni 2011 Ã  Fr. 188.55 (Fr. 192.60 abzÃ¼glich die jeweilige RÃ¼ckerstattung der Umweltabgabe von Fr. 4.05), was einen Gesamtbetrag von Fr. 1'131.30 ergibt (Urk. 9/2 S. 3 und Urk. 9/7), und zum anderen aus Fr. 130.20, dem Restbetrag der PrÃ¤mienschuld fÃ¼r die Monate Januar bis Juni 2009, die sich auf insgesamt Fr. 961.80 belief (6 x Fr. 160.30 [Fr. 161.70 abzÃ¼glich die jeweilige RÃ¼ckerstattung der Umweltabgabe von Fr. 1.40]; Urk. 9/2 S. 2 und Urk. 9/5) und von welcher der BeschwerdefÃ¼hrer einen Teilbetrag von Fr. 831.60 beglich (vgl. Urk. 9/6).</w:t>
      </w:r>
    </w:p>
    <w:p>
      <w:r>
        <w:t>Â Â Â Â Â Â Â Â  Der BeschwerdefÃ¼hrer rÃ¤umte ausdrÃ¼cklich ein, die genannten PrÃ¤mienschulden der Jahre 2010 und 2011 noch nicht beglichen zu haben (Urk. 1/2 S. 2, Urk. 1/1 S. 2). Soweit er in der Beschwerdeschrift geltend machte, die PrÃ¤mienschuld des Jahres 2009, also der Restbetrag von Fr. 130.20, sei Gegenstand eines anderweitigen Verfahrens (Urk. 1/1 S. 2), ist darauf hinzuweisen, dass dieser Restbetrag sowohl im Einspracheentscheid vom 20. Dezember 2011 betreffend die PrÃ¤mien-Gesamtforderung von Fr. 1'261.50 (Urk. 2/1) als auch in der diesem zugrunde liegenden VerfÃ¼gung vom 3. November 2011 (Urk. 3/3) und im Zahlungsbefehl der Betreibung Nr. ___ (Urk. 3/4) enthalten ist. Zudem reichte der BeschwerdefÃ¼hrer keinerlei Unterlagen ein, die ein weiteres, separates Einspracheverfahren zum Betrag von Fr. 130.20 belegen wÃ¼rden, und brachte in der Eingabe vom 28. MÃ¤rz 2012 (Urk. 13) nach Einsicht in die Berechnungsunterlagen der Beschwerdegegnerin zu diesem Betrag (Urk. 9/5 und Urk. 9/6) keine Einwendungen vor. Damit ist die Restschuld von Fr. 130.20 entgegen der Annahme des BeschwerdefÃ¼hrers ebenfalls Gegenstand des vorliegenden Verfahrens.</w:t>
      </w:r>
    </w:p>
    <w:p>
      <w:r>
        <w:t>2.2Â Â Â Â  Der BeschwerdefÃ¼hrer anerkannte aber nicht nur, die mit den angefochtenen Einspracheentscheiden geforderten PrÃ¤mienbetrÃ¤ge bislang unbezahlt gelassen zu haben, sondern er anerkannte - abgesehen vom Restbetrag von Fr. 130.20 fÃ¼r das Jahr 2009 - auch deren HÃ¶he, indem er festhielt, er begleiche die Forderungen, sobald die GewÃ¤hrleistung des Versicherungsschutzes fÃ¼r die der Forderung zugrunde liegende Versicherungsperiode zweifelsfrei festgestellt sei (Urk. 1/2 S. 2, Urk. 1/1 S. 2).</w:t>
      </w:r>
    </w:p>
    <w:p>
      <w:r>
        <w:t>Â Â Â Â Â Â Â Â  In den Unterlagen, die der BeschwerdefÃ¼hrer selber eingereicht hat, findet sich das Schreiben der Beschwerdegegnerin vom 28. Mai 2010 mit der Mitteilung, dass die Leistungssistierung vom 9. MÃ¤rz 2010 (Urk. 4/9) schon am 15. MÃ¤rz 2010 aufgehoben worden sei (Urk. 4/7). Der BeschwerdefÃ¼hrer brachte keine weiteren Unterlagen bei, die auf etwas Gegenteiliges schliessen liessen oder darauf hinweisen wÃ¼rden, dass zu einer anderen Zeit ein weiterer Leistungsaufschub angeordnet worden wÃ¤re. Hinzu kommt, dass nach Art. 64a Abs. 3 KVG nach der Bezahlung der AusstÃ¤nde auch die Kosten fÃ¼r die Leistungen wÃ¤hrend der Zeit des Aufschubes zu Ã¼bernehmen sind. Die BefÃ¼rchtung des BeschwerdefÃ¼hrers, in den Jahren 2009, 2010 und 2011 keine oder keine vollumfÃ¤ngliche Versicherungsdeckung zu geniessen, ist somit unbegrÃ¼ndet. Ganz abgesehen davon wÃ¤re diese BefÃ¼rchtung kein Anlass, geschuldete PrÃ¤mien unbezahlt zu lassen. Vielmehr stÃ¼nde dem BeschwerdefÃ¼hrer fÃ¼r den Fall, dass ihm die Beschwerdegegnerin Leistungen verweigerte, ebenfalls der Weg der Einsprache und der Beschwerde offen.</w:t>
      </w:r>
    </w:p>
    <w:p>
      <w:r>
        <w:t>2.3Â Â Â Â  Der BeschwerdefÃ¼hrer verlangte des Weiteren, dass die Beschwerdegegnerin eine VerfÃ¼gung Ã¼ber die generelle HÃ¶he der MonatsprÃ¤mie des Jahres 2011 erlasse (Urk. 1/1 S. 2). Dieses Begehren ist als Rechtsverweigerungsbeschwerde im Sinne von Art. 56 Abs. 2 des Bundesgesetzes Ã¼ber den Allgemeinen Teil des Sozialversicherungsrechts (ATSG) zu behandeln.</w:t>
      </w:r>
    </w:p>
    <w:p>
      <w:r>
        <w:t>Â Â Â Â Â Â Â Â  Dem BeschwerdefÃ¼hrer ist darin zuzustimmen, wie dies das BAG richtigerweise in einem Schreiben an die Beschwerdegegnerin vom 6. Januar 2011 dargetan hat (vgl. Urk. 3/6d), dass die Beschwerdgegnerin ihm an sich mit dem Erlass einer derartigen VerfÃ¼gung den Rechtsweg fÃ¼r die gerichtliche ÃberprÃ¼fung der PrÃ¤mienhÃ¶he im Sinne der vorstehenden AusfÃ¼hrungen in E. 1.1 hÃ¤tte Ã¶ffnen mÃ¼ssen. Derartige FeststellungsverfÃ¼gungen lagen etwa den beiden zitierten verÃ¶ffentlichten Bundesgerichtsentscheiden (BGE 135 V 39, 121 V 66) zugrunde. Nachdem jedoch die PrÃ¤mien fÃ¼r das Jahr 2011 Gegenstand der LeistungsverfÃ¼gung vom 3. November 2011 (Urk. 3/3) und des sie bestÃ¤tigenden Einspracheentscheids vom 20. Dezember 2011 (Urk. 2/1) geworden waren, bestand kein Feststellungsinteresse des BeschwerdefÃ¼hrers mehr am Erlass einer VerfÃ¼gung Ã¼ber die generelle HÃ¶he der PrÃ¤mie des Jahres 2011. Vielmehr hÃ¤tte der BeschwerdefÃ¼hrer nunmehr die MÃ¶glichkeit gehabt, den PrÃ¤mientarif mit der Anfechtung dieses genannten Einspracheentscheids in Frage zu stellen. Dies hat er aber im vorliegenden Verfahren nicht getan, zumindest nicht in einer substanzierten Weise im Sinne der dargelegten Rechtsprechung (E. 1.1).</w:t>
      </w:r>
    </w:p>
    <w:p>
      <w:r>
        <w:t>Â Â Â Â Â Â Â Â  Auf die Rechtsverweigerungsbeschwerde ist daher mangels Rechtsschutzinteresse nicht einzutreten.</w:t>
      </w:r>
    </w:p>
    <w:p>
      <w:r>
        <w:rPr>
          <w:b/>
        </w:rPr>
        <w:t>E. 2.4</w:t>
      </w:r>
    </w:p>
    <w:p>
      <w:r>
        <w:t>2.4.1Â Â  Des Weiteren sind die strittigen PrÃ¤mienforderungen fÃ¼r die Jahre 2010 und 2011 von Fr. 1'059.00 beziehungsweise von Fr. 1'131.30 als begrÃ¼ndet zu beurteilen, da der BeschwerdefÃ¼hrer deren HÃ¶he, wie dargelegt, in den beiden Beschwerdeschriften anerkannt hat und nach dem gerade Gesagten insbesondere auch die Tarifierung des Jahres 2011 nicht konkret in Frage gestellt hat. Was die Restforderung des Jahres 2009 betrifft, so hat der BeschwerdefÃ¼hrer in der Replik zu deren Zusammensetzung, wie sie sich auf den ihm vorgelegten Unterlagen der Beschwerdegegnerin ergibt (Urk. 9/2 S. 2, Urk. 9/5, Urk. 9/6), keine Beanstandungen formuliert, sodass auch diese Forderung als begrÃ¼ndet erscheint.</w:t>
      </w:r>
    </w:p>
    <w:p>
      <w:r>
        <w:t>2.4.2Â Â  Ebenfalls gerechtfertigt ist die Erhebung der Mahnkosten von Fr. 10.00 und von Umtriebsspesen von Fr. 20.00 im Verfahren betreffend die PrÃ¤mienforderung von Fr. 1'059.00 des Zeitraums Juli bis Dezember 2010 und die Erhebung der Mahnkosten von Fr. 20.00 und von Umtriebsspesen von Fr. 20.00 im Verfahren betreffend die PrÃ¤mienforderung von Fr. 1'261.50 der ZeitrÃ¤ume Januar bis Juni 2009 und Januar bis Juni 2011.</w:t>
      </w:r>
    </w:p>
    <w:p>
      <w:r>
        <w:t>Â Â Â Â Â Â Â Â  In Art. 105b KVV in der hier anwendbaren Fassung ist die Kompetenz der Krankenkassen zum Erlass von Regelungen Ã¼ber die Erhebung von Mahnkosten statuiert, und die EGK hat davon in Art. 11 Ziffer 4 ihrer Versicherungsbedingungen zur obligatorischen Krankenpflegeversicherung (Urk. 9/1) Gebrauch gemacht. Danach erhebt die Kasse fÃ¼r eine zweite Mahnung eine MahngebÃ¼hr von Fr. 10.00, und dort, wo Forderungen auf dem Rechtsweg eingefordert werden mÃ¼ssen, werden aufwandsgerechte Umtriebsspesen belastet.</w:t>
      </w:r>
    </w:p>
    <w:p>
      <w:r>
        <w:t>Â Â Â Â Â Â Â Â  Der BeschwerdefÃ¼hrer stellte den dokumentierten Mahn-Aufwand von insgesamt Fr. 30.00 (Urk. 9/4, Urk. 9/6 und Urk. 9/8) nicht in Frage. Dass die Beschwerdegegnerin den BeschwerdefÃ¼hrer trotz zu Unrecht unterlassener FeststellungsverfÃ¼gung Ã¼ber die HÃ¶he der PrÃ¤mie des Jahres 2011 zur Bezahlung der ausstehenden PrÃ¤mien aufgefordert hat, kann ihr entgegen der Ansicht des BeschwerdefÃ¼hrers (Urk. 1/2 S. 3, Urk. 1/1 S. 4) nicht vorgeworfen werden; diese waren im Grundsatz unabhÃ¤ngig von einer allfÃ¤lligen, im Beschwerdeverfahren veranlassten tariflichen Korrektur geschuldet. Sodann sind die Umtriebsspesen von insgesamt Fr. 40.00 als aufwandsgerecht im Sinne der zitierten Regelung in den Versicherungsbedingungen zu beurteilen.</w:t>
      </w:r>
    </w:p>
    <w:p>
      <w:r>
        <w:t>2.4.3Â Â  Des Weiteren ist auch der Verzugszins zu 5 % auf den PrÃ¤mienforderungen ab dem 1. Juli 2010 beziehungsweise ab dem 18. Oktober 2010 (mittlerer Verfall) geschuldet. Die Rechtsgrundlage hierfÃ¼r findet sich in Art. 26 Abs. 1 ATSG und in Art. 105a KVV in der hier anwendbaren Fassung.</w:t>
      </w:r>
    </w:p>
    <w:p>
      <w:r>
        <w:t>2.4.4Â Â  DemgegenÃ¼ber kann die versicherte Person nach der Rechtsprechung des Bundesgerichts zur Bezahlung von Betreibungskosten nicht mit VerfÃ¼gung und Einspracheentscheid verpflichtet werden, da die Betreibungskosten - bei erfolgreicher Betreibung - von Gesetzes wegen geschuldet sind (Art. 68 des Bundesgesetzes Ã¼ber Schuldbetreibung und Konkurs [SchKG]; vgl. SZS 2001 S. 568 E. 5 sowie Urteil des Bundesgerichts K 79/02 vom 12. Februar 2003, E. 4). Die ErwÃ¤hnung der Betreibungskosten in den angefochtenen Einspracheentscheiden ist daher an sich obsolet, ohne dass dies jedoch inhaltlich an der RechtmÃ¤ssigkeit der Einspracheentscheide etwas Ã¤ndern wÃ¼rde.</w:t>
      </w:r>
    </w:p>
    <w:p>
      <w:r>
        <w:t>2.5Â Â Â Â  Damit sind die Beschwerden abzuweisen, soweit darauf einzutreten ist.</w:t>
      </w:r>
    </w:p>
    <w:p>
      <w:r>
        <w:t>Das Gericht erkennt:</w:t>
      </w:r>
    </w:p>
    <w:p>
      <w:r>
        <w:t>1.Â Â Â Â Â Â Â Â  Die Beschwerden werden abgewiesen, soweit darauf eingetreten wird.</w:t>
      </w:r>
    </w:p>
    <w:p>
      <w:r>
        <w:t>Â Â Â Â Â Â Â Â Â Â  Die RechtsvorschlÃ¤ge in den Betreibung Nr. ___ und Nr. ___ des Betreibungsamtes A.___ werden fÃ¼r den Betrag von Fr. 1'059.00 zuzÃ¼glich Verzugszins von 5 % seit dem 1. Juli 2010 und Mahn- und Umtriebsspesen von Fr. 30.00 sowie fÃ¼r den Betrag von 1'261.50 zuzÃ¼glich Verzugszins von 5 %Â  seit dem 18. Oktober 2010 und Mahn- und Umtriebsspesen aufgehoben.</w:t>
      </w:r>
    </w:p>
    <w:p>
      <w:r>
        <w:t>2.Â Â Â Â Â Â Â Â  Das Verfahren ist kostenlos.</w:t>
      </w:r>
    </w:p>
    <w:p>
      <w:r>
        <w:t>3.Â Â Â Â Â Â Â Â  Zustellung gegen Empfangsschein an:</w:t>
      </w:r>
    </w:p>
    <w:p>
      <w:r>
        <w:t>- X.___</w:t>
      </w:r>
    </w:p>
    <w:p>
      <w:r>
        <w:t>- EGK-Gesundheitskasse</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