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KV.2011.00103 vom 12. April 2013</w:t>
      </w:r>
    </w:p>
    <w:p>
      <w:r>
        <w:t>ZH Sozialversicherungsgericht, 2013-04-12, DE</w:t>
      </w:r>
    </w:p>
    <w:p>
      <w:r>
        <w:rPr>
          <w:b/>
        </w:rPr>
        <w:t xml:space="preserve">Quelle: </w:t>
      </w:r>
      <w:r>
        <w:t>https://mcp.opencaselaw.ch/entscheid/zh_sozialversicherungsgericht_KV.2011.00103</w:t>
      </w:r>
    </w:p>
    <w:p>
      <w:r>
        <w:t>FR: ZH_SOZIALVERSICHERUNGSGERICHT KV.2011.00103 du 12 avril 2013</w:t>
      </w:r>
    </w:p>
    <w:p>
      <w:r>
        <w:t>IT: ZH_SOZIALVERSICHERUNGSGERICHT KV.2011.00103 del 12 aprile 2013</w:t>
      </w:r>
    </w:p>
    <w:p>
      <w:pPr>
        <w:pStyle w:val="Heading2"/>
      </w:pPr>
      <w:r>
        <w:t>Erwägungen</w:t>
      </w:r>
    </w:p>
    <w:p>
      <w:r>
        <w:rPr>
          <w:b/>
        </w:rPr>
        <w:t>E. 2</w:t>
      </w:r>
    </w:p>
    <w:p>
      <w:r>
        <w:t>2.1Â Â Â Â  Die Beschwerdegegnerin ging im angefochtenen Einspracheentscheid vom 24. November 2011 (Urk. 2) davon aus, dass die BeschwerdefÃ¼hrenden, welche am 12. Oktober 2011 per Mail Einsprache gegen die VerfÃ¼gung vom 31. August 2011 erhoben habe, ihre Einsprache nicht rechtzeitig innerhalb der Einsprachefrist von 30 Tagen erhoben hÃ¤tten, weshalb auf die Einsprache mangels Rechtzeitigkeit nicht einzutreten sei.</w:t>
      </w:r>
    </w:p>
    <w:p>
      <w:r>
        <w:t>2.2Â Â Â Â  Die BeschwerdefÃ¼hrenden bringenÂ  hiegegen vor, dass die Einsprachefrist nach der erneuten Zustellung der VerfÃ¼gung vom 31. August 2011 mit Schreiben vom 22. September 2011 neu zu laufen begonnen habe, und dass die Einsprache vom 12. Oktober 2011 daher rechtzeitig innerhalb der dreissigtÃ¤gigen Einsprachefrist erhoben worden sei (Urk. 11).</w:t>
      </w:r>
    </w:p>
    <w:p>
      <w:r>
        <w:rPr>
          <w:b/>
        </w:rPr>
        <w:t>E. 3</w:t>
      </w:r>
    </w:p>
    <w:p>
      <w:r>
        <w:t>3.1Â Â Â Â  Den Akten ist zu entnehmen, dass die Beschwerdegegnerin die VerfÃ¼gung vom 31. August 2011 den BeschwerdefÃ¼hrenden vorerst erfolglos mit eingeschriebener Post an ihrer Adresse in C.___ zuzustellen versuchte (Urk. 8/22-23). Mit Schreiben vom 22. September 2011 stellte die Beschwerdegegnerin den BeschwerdefÃ¼hrenden die VerfÃ¼gung vom 31. August 2011 erneut als nicht eingeschriebene Postsendung erfolgreich zu (Urk. 8/17).</w:t>
      </w:r>
    </w:p>
    <w:p>
      <w:r>
        <w:t>3.2Â Â Â Â  Nach der Rechtsprechung gilt ein allfÃ¤lliger zweiter Versand und die spÃ¤tere Entgegennahme der Postsendung zwar als rechtlich unbeachtlich (BGE 117 VÂ  132 E. 4a, 111 V 101 E. 2b) und vermag an einer allenfalls geltenden Zustellfiktion nichts zu Ã¤ndern. Dies gilt indes nicht, wenn der zweite Versand eine vorbehaltlose Rechtsmittelbelehrung enthÃ¤lt. In diesem Fall begrÃ¼ndet der zweite Versand Vertrauensschutz (BGE 115 Ia 20 E. 4c).</w:t>
      </w:r>
    </w:p>
    <w:p>
      <w:r>
        <w:t>3.3Â Â Â Â  Vorliegend sind dem Schreiben vom 22. September 2011 (Urk. 17) keine Vorbehalte oder Hinweise zur Rechtsmittelbelehrung zu entnehmen (Urk. 16). Demzufolge stellt die Rechtsmittelbelehrung der VerfÃ¼gung vom 31. August 2011, welche den BeschwerdefÃ¼hrenden erst mit Schreiben vom 22. September 2011 zugestellt wurde, eine vorbehaltlose Rechtsmittelbelehrung im Sinne der erwÃ¤hnten Rechtsprechung dar, welche Vertrauensschutz begrÃ¼ndet.</w:t>
      </w:r>
    </w:p>
    <w:p>
      <w:r>
        <w:t>3.4Â Â Â Â  Demnach ist davon auszugehen, dass die Einsprachefrist von 30 Tagen erst nach Eintreffen der mit dem zweiten Versand zugestellten VerfÃ¼gung und damit frÃ¼hestens am 24. September 2011 zu laufen begann. Am 12. Oktober 2011, dem Zeitpunkt als die BeschwerdefÃ¼hrenden ihr mit ÂEinsprache gegen Ihren Bescheid vom 22. September 2011Â betiteltes Mail an die Beschwerdegegnerin versandten, war die Einsprachefrist daher noch nicht abgelaufen.</w:t>
      </w:r>
    </w:p>
    <w:p>
      <w:r>
        <w:rPr>
          <w:b/>
        </w:rPr>
        <w:t>E. 4</w:t>
      </w:r>
    </w:p>
    <w:p>
      <w:r>
        <w:t>4.1Â Â Â Â  GemÃ¤ss Art. 10 Abs. 1 der Verordnung Ã¼ber den Allgemeinen Teil des Sozialversicherungsrechts (ATSV) mÃ¼ssen Einsprachen ein Rechtsbegehren und eine BegrÃ¼ndung enthalten. In Abs. 4 dieser Bestimmung ist geregelt, dass die schriftlich erhobene Einsprache die Unterschrift der Einsprache fÃ¼hrenden Person oder ihres Rechtsbeistands enthalten muss.</w:t>
      </w:r>
    </w:p>
    <w:p>
      <w:r>
        <w:t>4.2Â Â Â Â  GenÃ¼gt die Einsprache den Anforderungen nach Art. 10 Abs. 1 ATSV nicht oder fehlt die Unterschrift, setzt der Versicherer laut Art. 10 Abs. 5 ATSV der einsprechenden Person eine angemessene Frist zur Behebung der MÃ¤ngel an, verbunden mit der Androhung, dass ansonsten auf die Einsprache nicht eingetreten werde.</w:t>
      </w:r>
    </w:p>
    <w:p>
      <w:r>
        <w:t>4.3Â Â Â Â  Nach der Rechtsprechung des Bundesgerichts zu Art. 42 Abs. 5 des Bundesgerichtsgesetzes (BGG), welche eine im Vergleich zu derjenigen von Art. 10 Abs. 5 ATSV insofern gleichlautende Regelung enthÃ¤lt, wonach bei einem Fehlen der Unterschrift eine angemessene Frist zur Behebung des Mangels anzusetzen ist, ist zu unterscheiden, ob es sich beim Fehlen der Unterschrift um ein freiwilliges, bewusstes Unterlassen oder um ein unfreiwilliges, versehentliches Unterlassen gehandelt habe (BGE 121 II 252 E. 4b; Urteil des Bundesgerichts 9C_739/2007 vom 28. November 2007 E. 1.2). Beschwerdeschriften, deren Unterschrift fehlt, kÃ¶nnen nach dieser Rechtsprechung nur innert Nachfrist verbessert werden, wenn die Unterlassung unfreiwillig erfolgt ist, nicht aber, wenn diese bewusst geschieht.</w:t>
      </w:r>
    </w:p>
    <w:p>
      <w:r>
        <w:t>4.4Â Â Â Â  Um ein solches bewusstes Fehlen der Unterschrift handelt es sich nach der Rechtsprechung insbesondere bei einer Ãbermittlung einer Beschwerde per Telefax. Denn eine mittels Telefax eingereichte Rechtsschrift enthÃ¤lt keine Original-Unterschrift, da sie nur eine Kopie ist. Eine versicherte Person, die in voller Kenntnis des Mangels (Fehlen der Unterschrift) beim Bundesgericht eine Rechtsschrift mittels Telefax einreicht, indem sie sich auf die GewÃ¤hrung einer Nachfrist zur Behebung des anfÃ¤nglichen Mangels verlÃ¤sst, rechne in Wirklichkeit mit einer VerlÃ¤ngerung der Beschwerdefrist. Ein solches Vorgehen komme einem Rechtsmissbrauch gleich und kÃ¶nne nicht geschÃ¼tzt werden (Urteil des Bundesgerichts 9C_739/2007 vom 28. November 2007 E. 1.2).</w:t>
      </w:r>
    </w:p>
    <w:p>
      <w:r>
        <w:rPr>
          <w:b/>
        </w:rPr>
        <w:t>E. 5</w:t>
      </w:r>
    </w:p>
    <w:p>
      <w:r>
        <w:t>5.1Â Â Â Â  Die BeschwerdefÃ¼hrenden haben ihre Einsprache vom 12. Oktober 2011 mittels eines (keine Unterschrift aufweisenden) Mails eingereicht (Urk. 8/19). DiesbezÃ¼glich gilt es indes zu beachten, dass die VerfÃ¼gung vom 31. August 2011 folgende Rechtsmittelbelehrung enthÃ¤lt (Urk. 8/16):</w:t>
      </w:r>
    </w:p>
    <w:p>
      <w:r>
        <w:t>Â Â Â Â Â Â Â Â  ÂGegen diesen Entscheid kann innert 30 Tagen, von der Mitteilung an gerechnet, bei der Gesundheitsdirektion des Kantons ZÃ¼rich, Bereich KVG, Obstgartenstrasse 21, 8090 ZÃ¼rich, schriftlich Einsprache erhoben werden. Die Einsprache muss einen Antrag und eine BegrÃ¼ndung enthaltenÂ.</w:t>
      </w:r>
    </w:p>
    <w:p>
      <w:r>
        <w:t>5.2Â Â Â Â  Diese Rechtsmittelbelehrung ist insofern nicht vollstÃ¤ndig, beziehungsweise mangelhaft, als darin ein Hinweis auf die Regelung von Art. 10 Abs. 3 ATSV fehlt, wonach eine Einsprache wahlweise schriftlich oder bei persÃ¶nlicher Vorsprache mÃ¼ndlich erhoben werden kann. Sodann fehlt in der erwÃ¤hnten Rechtsmittelbelehrung ein Hinweis darauf, dass eine schriftlich erhobene Einsprache laut Art. 10 Abs. 4 ATSV die Unterschrift der Einsprache fÃ¼hrenden Person beziehungsweise ihres Rechtsbeistandes enthalten muss.</w:t>
      </w:r>
    </w:p>
    <w:p>
      <w:r>
        <w:t>5.3Â Â Â Â  Der Vertrauensschutz ist in Art. 9 der Bundesverfassung (BV) verankert. Nach stÃ¤ndiger Rechtsprechung verleiht der dort geregelte Grundsatz von Treu und Glauben Anspruch auf Schutz des berechtigten Vertrauens in behÃ¶rdliche Zusicherungen oder sonstiges, bestimmte Erwartungen begrÃ¼ndendes Verhalten der BehÃ¶rden (BGE 130 I 26 E. 8.1). So darf grundsÃ¤tzlich auf die Richtigkeit einer Rechtsmittelbelehrung vertraut werden. Kein Vertrauensschutz in eine mangelhafte Rechtsmittelbelehrung besteht jedoch, wenn die betroffene Person den Mangel kennt oder bei genÃ¼gender Aufmerksamkeit hÃ¤tte erkennen mÃ¼ssen, insbesondere wenn sie oder ihr Rechtsanwalt den Mangel schon allein durch Konsultierung des massgebenden Gesetzestextes hÃ¤tte ersehen kÃ¶nnen (BGE 124 I 255 E. 1a/aa), wobei von AnwÃ¤lten ein hÃ¶heres Mass an Sorgfalt verlangt wird als von rechtsunkundigen Personen (Urteil des Bundesgerichts 4P.153/2005 E. 3.3).</w:t>
      </w:r>
    </w:p>
    <w:p>
      <w:r>
        <w:t>5.4Â Â Â Â  Im vorliegenden Fall ist der in der Rechtsmittelbelehrung verwendete Begriff, wonach Âschriftlich EinspracheÂ erhoben werden kÃ¶nne, nicht eindeutig. Zwar ist in Art. 10 Abs. 4 ATSV geregelt, dass eine schriftlich erhobene Einsprache die Unterschrift der Einsprache fÃ¼hrenden Person oder ihres Rechtsbeistandes enthalten muss. Sodann ist in Art. 13 Abs. 1 des Obligationenrechts (OR) geregelt, dass ein Vertrag, fÃ¼r den die schriftliche Form gesetzlich vorgeschrieben ist, die Unterschrift aller Personen tragen muss, die durch ihn verpflichtet werden sollen. DemgegenÃ¼ber ist nach der Rechtsprechung (BGE 105 V 248 E. 4b) bei MassenverfÃ¼gungen, wie sie namentlich im Bereich der Sozialversicherung auftreten, die Unterschrift kein GÃ¼ltigkeitserfordernis, obwohl Art. 49 Abs. 1 ATSG fÃ¼r VerfÃ¼gungen die Schriftform vorschreibt.Â</w:t>
      </w:r>
    </w:p>
    <w:p>
      <w:r>
        <w:t>5.5Â Â Â Â  Vorliegend hÃ¤tte eine rechtskundige Person und insbesondere ein Rechtsanwalt nicht darauf vertrauen dÃ¼rfen, dass eine Einsprache keine Original-Unterschriften enthalten mÃ¼sse. Bei den BeschwerdefÃ¼hrenden handelt es sich indes weder um RechtsanwÃ¤lte noch um rechtskundige Personen, weshalb in Bezug auf den in der Rechtsmittelbelehrung verwendeten Begriff ÂschriftlichÂ auf den allgemeinen Sprachgebrauch abzustellen ist. Nach dem allgemeinen Sprachgebrauch muss eine als ÂschriftlichÂ bezeichnete Eingabe indes nicht zwingend eine Original-Unterschrift des Verfassers aufweisen. Vielmehr dÃ¼rfte nach dem allgemeinen Sprachgebrauch auch eine (keine Unterschrift aufweisende) Mail als ein schriftlicher Text zu verstehen sein.</w:t>
      </w:r>
    </w:p>
    <w:p>
      <w:r>
        <w:t>Â Â Â Â Â Â Â Â  Im Ãbrigen gilt es vorliegend ergÃ¤nzend darauf hinzuweisen, dass das hiesige Gericht unter anderem auch aus diesem Grunde in den Ã¼blicherweise verwendeten Rechtsmittelbelehrungen darauf hinweist, dass eine Beschwerdeschrift gemÃ¤ss Art. 42 BGG unter anderem eine Unterschrift der Beschwerde fÃ¼hrenden Person oder ihrer Rechtsvertretung enthalten muss.</w:t>
      </w:r>
    </w:p>
    <w:p>
      <w:r>
        <w:t>5.6Â Â Â Â  Nach Gesagten erweist sich der in der Rechtsmittelbelehrung verwendete Begriff ÂschriftlichÂ nicht als eindeutig. Hinweise dafÃ¼r, dass sich die BeschwerdefÃ¼hrenden in dem Sinne rechtsmissbrÃ¤uchlich verhalten hÃ¤tten, dass sie ihre Einsprache bewusst per Mail eingereicht hÃ¤tten, um die GewÃ¤hrung einer Nachfrist zur Behebung des anfÃ¤nglichen Mangels und eine VerlÃ¤ngerung der Beschwerdefrist zu erwirken, lassen sich den Akten nicht entnehmen. Den nicht rechtskundigen BeschwerdefÃ¼hrenden kann daher nicht entgegengehalten werden, dass ihre Einsprache zwingend die Unterschrift der Einsprache fÃ¼hrenden Personen hÃ¤tte enthalten mÃ¼ssen. Vielmehr durften sie gestÃ¼tzt auf den Vertrauensschutz die Rechtsmittelbelehrung der VerfÃ¼gung vom 31. August 2011, wonach eine Einsprache ÂschriftlichÂ zu erfolgen habe, in dem Sinne verstehen, dass das Erfordernis der Schriftform durch das Einreichen einer Einsprache in Textform mit oder ohne Unterschrift erfÃ¼llt werde.</w:t>
      </w:r>
    </w:p>
    <w:p>
      <w:r>
        <w:t>5.7Â Â Â Â  Es handelt sich bei der der mittels Mail erhobenen Einsprache vom 12. Oktober 2011 daher nicht um eine bewusst und freiwillig, in voller Kenntnis ihres Mangels (des Fehlens der Unterschrift) eingereichte Einsprache. Im Ãbrigen scheint auch die Beschwerdegegnerin diese Meinung zu vertreten. Denn im angefochtenen Einspracheentscheid vom 24. November 2011 (Urk. 2) trat die Beschwerdegegnerin nicht wegen einer fehlenden Unterschrift, sondern mangels Rechtzeitigkeit nicht auf die Einsprache ein.</w:t>
      </w:r>
    </w:p>
    <w:p>
      <w:r>
        <w:t>5.8Â Â Â Â  Nach Gesagtem steht daher fest, dass die keine Unterschriften aufweisende Einsprache der BeschwerdefÃ¼hrenden vom 12. Oktober 2011 (Urk. 8/19) rechtzeitig innerhalb der Einsprachefrist bei der Beschwerdegegnerin einging, und dass die Beschwerdegegnerin gemÃ¤ss Art. 10Â  Abs. 5 ATSV verpflichtet gewesen wÃ¤re, den Einsprechenden eine angemessene Nachfrist zur Behebung des Mangels anzusetzen.</w:t>
      </w:r>
    </w:p>
    <w:p>
      <w:r>
        <w:t>6.Â Â Â Â Â Â  Auf eine RÃ¼ckweisung der Sache an die Beschwerdegegnerin, damit diese den BeschwerdefÃ¼hrenden Frist zur Behebung des Mangels der fehlenden Unterschrift und rechtsgÃ¼ltigen Einspracheerhebung ansetze, kann vorliegend indes verzichtet werden, da die Beschwerdeschrift vom 16. Dezember 2011 (Urk. 1) und die Replik vom 11. MÃ¤rz 2012 (Urk. 11) der BeschwerdefÃ¼hrenden Unterschriften aufweisen. Die Sache ist vielmehr an die Beschwerdegegnerin zurÃ¼ckzuweisen, damit diese die Einsprache vom 12. Oktober 2011 (Urk. 8/19) sowie die Eingaben der BeschwerdefÃ¼hrenden vom 16. Dezember 2011 (Urk. 1) und vom 11. MÃ¤rz 2012 (Urk. 11) materiell prÃ¼fe und anschliessend diesbezÃ¼glich erneut einen Einspracheentscheid erlassen werde. In diesem Sinne ist die Beschwerde daher gutzuheissen.</w:t>
      </w:r>
    </w:p>
    <w:p>
      <w:r>
        <w:t>Das Gericht erkennt:</w:t>
      </w:r>
    </w:p>
    <w:p>
      <w:r>
        <w:t>1.Â Â Â Â Â Â Â Â  Die Beschwerde wird in dem Sinne gutgeheissen, dass der angefochtene Einspracheentscheid vom 24. November 2011 aufgehoben und die Sache an die Gesundheitsdirektion des Kantons ZÃ¼rich zurÃ¼ckgewiesen wird, damit diese die Einsprache der BeschwerdefÃ¼hrenden vom 12. Oktober 2011 materiell prÃ¼fe und anschliessend neu darÃ¼ber entscheide.</w:t>
      </w:r>
    </w:p>
    <w:p>
      <w:r>
        <w:t>2.Â Â Â Â Â Â Â Â  Das Verfahren ist kostenlos.</w:t>
      </w:r>
    </w:p>
    <w:p>
      <w:r>
        <w:t>3.Â Â Â Â Â Â Â Â  Zustellung gegen Empfangsschein an:</w:t>
      </w:r>
    </w:p>
    <w:p>
      <w:r>
        <w:t>- X.___</w:t>
      </w:r>
    </w:p>
    <w:p>
      <w:r>
        <w:t>- Gesundheitsdirektion des Kantons ZÃ¼rich</w:t>
      </w:r>
    </w:p>
    <w:p>
      <w:r>
        <w:t>- Bundesamt fÃ¼r Gesundheit</w:t>
      </w:r>
    </w:p>
    <w:p>
      <w:r>
        <w:t>sowie an:</w:t>
      </w:r>
    </w:p>
    <w:p>
      <w:r>
        <w:t>- Gemeinde C.___, Einwohnerdienste, Bahnhofstrasse 60,</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