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KV.2007.00081 vom 10. Juni 2009</w:t>
      </w:r>
    </w:p>
    <w:p>
      <w:r>
        <w:t>ZH Sozialversicherungsgericht, 2009-06-10, DE</w:t>
      </w:r>
    </w:p>
    <w:p>
      <w:r>
        <w:rPr>
          <w:b/>
        </w:rPr>
        <w:t xml:space="preserve">Quelle: </w:t>
      </w:r>
      <w:r>
        <w:t>https://mcp.opencaselaw.ch/entscheid/zh_sozialversicherungsgericht_KV.2007.00081</w:t>
      </w:r>
    </w:p>
    <w:p>
      <w:r>
        <w:t>FR: ZH_SOZIALVERSICHERUNGSGERICHT KV.2007.00081 du 10 juin 2009</w:t>
      </w:r>
    </w:p>
    <w:p>
      <w:r>
        <w:t>IT: ZH_SOZIALVERSICHERUNGSGERICHT KV.2007.00081 del 10 giugno 2009</w:t>
      </w:r>
    </w:p>
    <w:p>
      <w:pPr>
        <w:pStyle w:val="Heading2"/>
      </w:pPr>
      <w:r>
        <w:t>Erwägungen</w:t>
      </w:r>
    </w:p>
    <w:p>
      <w:r>
        <w:rPr>
          <w:b/>
        </w:rPr>
        <w:t>E. 2</w:t>
      </w:r>
    </w:p>
    <w:p>
      <w:r>
        <w:t>2.1Â Â Â Â  Die obligatorische Krankenpflegeversicherung Ã¼bernimmt gemÃ¤ss Art. 25 KVG die Kosten fÃ¼r die Leistungen, die der Diagnose oder Behandlung einer Krankheit und ihrer Folgen dienen (Abs. 1). Diese Leistungen umfassen unter anderem die Ã¤rztlich verordneten Arzneimittel (Abs. 2 lit. b). Die Leistungen nach Art. 25 KVG mÃ¼ssen gemÃ¤ss Art. 32 Abs. 1 KVG wirksam, zweckmÃ¤ssig und wirtschaftlich sein (Satz 1), wobei die Wirksamkeit nach wissenschaftlichen Methoden nachgewiesen sein muss (Satz 2). Die Wirksamkeit - ebenso wie die ZweckmÃ¤ssigkeit und Wirtschaftlichkeit der Leistungen - wird periodisch Ã¼berprÃ¼ft (Art. 32 Abs. 2 KVG).</w:t>
      </w:r>
    </w:p>
    <w:p>
      <w:r>
        <w:t>2.2Â Â Â Â  Das Bundesamt fÃ¼r Gesundheit (BAG) erstellt laut Art. 52 Abs. 1 lit. b Satz 1 KVG (in Verbindung mit Art. 34, Art. 37a lit. c und Art. 37e Abs. 1 KVV) nach AnhÃ¶ren der EidgenÃ¶ssischen Arzneimittelkommission und unter BerÃ¼cksichtigung der GrundsÃ¤tze nach Art. 32 Abs. 1 sowie Art. 43 Abs. 6 KVG eine Liste der pharmazeutischen SpezialitÃ¤ten und konfektionierten Arzneimittel mit Preisen (SpezialitÃ¤tenliste; SL). Der SL kommt PublizitÃ¤tswirkung zu. Sie dient der Rechtssicherheit und auch dem Gleichbehandlungsgebot (RKUV 2003 Nr. KV 260 S. 302 Erw. 3.1.1). Das Bundesamt hat sich beim Erstellen der Liste am allgemein gÃ¼ltigen Ziel einer qualitativ hochstehenden und zweckmÃ¤ssigen gesundheitlichen Versorgung zu mÃ¶glichst gÃ¼nstigen Kosten (Art. 43 Abs. 6 KVG) zu orientieren (vgl. BGE 129 V 44 Erw. 6.1.1 in fine mit Hinweisen).</w:t>
      </w:r>
    </w:p>
    <w:p>
      <w:r>
        <w:t>2.3Â Â Â Â  GemÃ¤ss Art. 63 Abs. 2 KVV sind fÃ¼r die Aufnahme eines Arzneimittels in die Arzneimittelliste mit Tarif (ALT) die Bestimmungen Ã¼ber die SL sinngemÃ¤ss anwendbar. Nach der Rechtsprechung kommt der SL (im Unterschied zum Katalog in Anhang 1 der Krankenpflege-Leistungsverordnung, KLV), gleichzeitig abschliessender und verbindlicher Charakter zu, weshalb die Kosten von nicht in der Liste aufgefÃ¼hrten pharmazeutischen SpezialitÃ¤ten und konfektionierten Arzneimitteln grundsÃ¤tzlich nicht durch die obligatorische Krankenpflegeversicherung vergÃ¼tet werden (BGE 130 V 540 Erw. 3.4 mit Hinweisen; RKUV 2003 Nr. KV 260 S. 303 f. Erw. 3.2 mit Hinweisen; Urteil des EVG in Sachen G. vom 2. Mai 2005, K 83/04, Erw. 2.2). Das Gleiche gilt fÃ¼r die ALT (vgl. RKUV 2002 Nr. KV 196 S. 9 f. Erw. 3b/cc; SVR 2004 KV Nr. 9 S. 30 Erw. 4.2.2 in fine).</w:t>
      </w:r>
    </w:p>
    <w:p>
      <w:r>
        <w:t>2.4Â Â Â Â  In Art. 65 Abs. 2 KVV und in Art. 30 Abs. 1 lit. a KLV werden die in Art. 32 Abs. 1 Satz 1 KVG normierten Kriterien der Wirksamkeit, ZweckmÃ¤ssigkeit und Wirtschaftlichkeit im Hinblick auf die Aufnahme von Arzneimitteln in die SL wiederholt. Ferner kann gemÃ¤ss Art. 73 KVV die Aufnahme in die SL unter der Bedingung einer Limitierung erfolgen, welche sich insbesondere auf die Menge oder die medizinischen Indikationen bezieht. Solche Limitierungen sind Instrumente der Wirtschaftlichkeitskontrolle, nicht Formen der Leistungsrationierung (RKUV 2001 Nr. KV 158 S. 157 f. Erw. 2 mit Hinweisen; Urteil des damaligen EidgenÃ¶ssischen Versicherungsgerichts, EVG, in Sachen A./B. vom 17. MÃ¤rz 2003, K 123/02, Erw. 2).</w:t>
      </w:r>
    </w:p>
    <w:p>
      <w:r>
        <w:t>2.5Â Â Â Â  In BGE 130 V 532 hatte das EVG darÃ¼ber zu befinden, ob die Kosten fÃ¼r ein in der SL aufgefÃ¼hrtes Arzneimittel (auch) zu Ã¼bernehmen sind, wenn das Medikament fÃ¼r eine Indikation abgegeben wird, fÃ¼r welche es keine Zulassung besitzt (so genannter off-label-use). Es verneinte dies dem Grundsatze nach aus der ErwÃ¤gung heraus, dass gestÃ¼tzt auf den der Aufnahme in die SpezialitÃ¤tenliste vorangehenden Zulassungsentscheid nach dem Bundesgesetz Ã¼ber Arzneimittel und Medizinprodukte (Heilmittelgesetz, HMG) samt dazugehÃ¶rigen AusfÃ¼hrungserlassen einzig dort geprÃ¼fte und als zulÃ¤ssig qualifizierte medizinische Indikationen/AnwendungsmÃ¶glichkeiten krankenversicherungsrechtlich als vergÃ¼tungsfÃ¤hig in Betracht fallen (BGE 130 V 357 ff. Erw. 3.2 und 3.3). Davon kann ausnahmsweise abgewichen werden, wenn ein so genannter Behandlungskomplex vorliegt oder wenn fÃ¼r eine Krankheit, die fÃ¼r die versicherte Person tÃ¶dlich verlaufen oder schwere und chronische gesundheitliche Probleme nach sich ziehen kann, wegen fehlender therapeutischer Alternativen keine andere wirksame Behandlungsmethode verfÃ¼gbar ist; diesfalls muss das Arzneimittel einen hohen therapeutischen Nutzen haben (BGE 130 V 544 ff. Erw. 6 mit Hinweisen, 131 V 351 Erw. 2.3).</w:t>
      </w:r>
    </w:p>
    <w:p>
      <w:r>
        <w:t>2.6Â Â Â Â  Ein Behandlungskomplex liegt dann vor, wenn beim Zusammentreffen mehrerer medizinischer Massnahmen, die gleichzeitig verschiedene, jedoch unter sich zusammenhÃ¤ngende Zwecke verfolgen, die fÃ¼r sich allein genommenÂ  sozialversicherungsrechtlich unterschiedliche Folgen nach sich ziehen wÃ¼rden, das Schicksal der gesamten therapeutischen Behandlung vom Ã¼berwiegenden Zweck abhÃ¤ngig gemacht wird (BGE 120 V 212 Erw. 7b; RKUV 1994 Nr. K 942 S. 192 Erw. 6b mit Hinweisen). Nach der Rechtsprechung kommt es daher beim Zusammentreffen von Massnahmen, die zu den Pflichtleistungen zÃ¤hlen, und solchen, fÃ¼r die keine oder nur eine beschrÃ¤nkte Leistungspflicht besteht, darauf an, ob die Massnahmen in einem engen Konnex zueinander stehen. Ist dies zu bejahen, so gehen sie in ihrer Gesamtheit dann nicht zu Lasten der Krankenkasse, wenn die nichtpflichtige Leistung Ã¼berwiegt (BGE 120 V 214 Erw. 7b/bb; RKUV 1998 Nr. K 991, S. 305, Erw. 3a, RKUV 1994 Nr. K 942 S. 194 Erw. 6b/bb).</w:t>
      </w:r>
    </w:p>
    <w:p>
      <w:r>
        <w:t>2.7Â Â Â Â  Die Rechtsprechung Ã¼bt bei der PrÃ¼fung des Inhalts der SL im Allgemeinen grosse ZurÃ¼ckhaltung, da das Bestehen der Zulassungsbedingungen der Arzneimittel von Fachexperten periodisch Ã¼berprÃ¼ft wird (vgl. auch Art. 65 Abs. 7 KVV, Art. 36 Abs. 1 KLV; RKUV 2001 Nr. KV 158 S. 159 Erw. 4b mit Hinweisen). Bei Sachverhalten, welche ausschliesslich medizinische und pharmazeutische Fragen beschlagen sind die Gerichte sodann im Allgemeinen nicht in der Lage, zu beurteilen, ob die Schlussfolgerungen der Fachleute stichhaltig sind, weshalb sie sich deren Meinung anschliessen, sofern sie nicht als unhaltbar scheint (RKUV 2000 Nr. KV 120 S. 165 Erw. 3c/aa mit Hinweisen; Urteil des EVG in Sachen R. vom 28. Juli 2003, K 135/02, Erw. 4.3).</w:t>
      </w:r>
    </w:p>
    <w:p>
      <w:r>
        <w:rPr>
          <w:b/>
        </w:rPr>
        <w:t>E. 3</w:t>
      </w:r>
    </w:p>
    <w:p>
      <w:r>
        <w:t>3.1Â Â Â Â  Dr. med. Udo Meinhardt, Facharzt FMH fÃ¼r Kinder- und Jugendmedizin speziell Wachstum, HormonstÃ¶rungen und Diabetes, erwÃ¤hnte in seiner zuhanden des Ombudsmanns der sozialen Krankenversicherung verfassten (undatierten) Stellungnahme vom Oktober 2007, dass der BeschwerdefÃ¼hrer an einem ausgeprÃ¤gten Grosswuchs mit einer prognostizierten EndlÃ¤nge von 206,1 bis 208,4 Zentimeter sowie unter einer leichten Skoliose leide. Eine endlÃ¤ngenlimitierende Therapie sei aus medizinischer Sicht indiziert. Bei der Behandlung von Knaben mit Testosteron zur Limitierung des Endwachstums handle es sich um eine seit Jahrzehnten anerkannte Therapieform (Urk. 8/4 S. 1).</w:t>
      </w:r>
    </w:p>
    <w:p>
      <w:r>
        <w:t>3.2Â Â Â Â  Das Medikament Nebido enthÃ¤lt den Wirkstoff ÂTestosteroni undecylasÂ, ist in der SL mit Ampullen von 250 Milligramm InjektionslÃ¶sung aufgefÃ¼hrt und weist die Limitierung "PrimÃ¤rer und sekundÃ¤rer Hypogonadismus. VorgÃ¤ngige Kostengutsprache durch den Vertrauensarzt des Krankenversicherers" auf (vgl. Urk. 8/6).</w:t>
      </w:r>
    </w:p>
    <w:p>
      <w:r>
        <w:rPr>
          <w:b/>
        </w:rPr>
        <w:t>E. 4</w:t>
      </w:r>
    </w:p>
    <w:p>
      <w:r>
        <w:t>4.1Â Â Â Â  GemÃ¤ss der Beurteilung durch Dr. Meinhardt leidet der BeschwerdefÃ¼hrer nicht unter einem primÃ¤ren oder sekundÃ¤ren Hypogonadismus sondern unter einem ausgeprÃ¤gten Grosswuchs und unter einer leichten Skoliose. Die Behandlung des Grosswuchses von Knaben mit Nebido kommt demnach ausserhalb dessen Limitierung zu liegen. Wird ein Medikament fÃ¼r ausserhalb der Limitation der SL bestimmte Indikationen verwendet, gilt es nach der Rechtsprechung als Arzneimittel ausserhalb der Liste (BGE 118 V 274 ff.; RKUV 1998 Nr. KV 991, S. 305, Erw. 2b). Bei der Behandlung des Grosswuchses von Knaben mit Nebido handelt es sich demnach um einen sogenannten Âoff-label-useÂ, der, von Ausnahmen abgesehen (vgl. Erw. 2.5), keine VergÃ¼tungspflicht der obligatorischen Krankenpflegeversicherung zu begrÃ¼nden vermag.</w:t>
      </w:r>
    </w:p>
    <w:p>
      <w:r>
        <w:t>4.2Â Â Â Â  Dass die fragliche medikamentÃ¶se Behandlung auf Ã¤rztliche Anordnung erfolgte, ist ohne Belang. Sodann genÃ¼gt zur LeistungsbegrÃ¼ndung nicht, dass es sich bei der fraglichen Behandlung um eine seit Jahrzehnten medizinisch anerkannte Therapieart handelt (vgl. RKUV 2003 Nr. KV 260, S. 304, Erw. 3.3). Es liegt auch kein ausnahmsweise eine Leistungspflicht begrÃ¼ndender Behandlungskomplex vor. Sodann handelt es sich beim Grosswuchs des BeschwerdefÃ¼hrers weder um eine tÃ¶dlich verlaufende Krankheit noch um eine solche, welche schwere und chronische gesundheitliche Probleme nach sich ziehen kann. Eine ausnahmsweise Leistungspflicht fÃ¼r einen Âoff-label-useÂ wegen fehlender therapeutischer Alternativen in der Behandlung einer tÃ¶dlich verlaufenden oder schwere und chronische gesundheitliche Probleme nach sich ziehenden Krankheit muss daher mangels einer Krankheit von genÃ¼gender Schwere verneint werden. Im Ãbrigen fehlte es vorliegend jedoch auch an der zweiten Voraussetzung der fehlenden therapeutischen Alternative. Denn in der SL ist neben Nebido ein weiteres PrÃ¤parat mit dem gleichen Wirkstoff (Testosteroni undecylenas) aufgenommen worden. Es handelt sich dabei um das Medikament Andriol. Dabei handelt es sich im Unterschied zu Nebido nicht um eine InjektionslÃ¶sung sondern um ein Medikament in Kapselform zur oralen Einnahme. Andriol weist in der SL die Limitierung Âbei gynÃ¤kologischen Indikationen sowie bei mÃ¤nnlichem Hypogonadismus und zur Einleitung der PubertÃ¤tÂ auf. Im Gegensatz zu Nebido kann das Medikament Andriol daher innerhalb der Limitierung zur Einleitung der PubertÃ¤t verwendet werden. Mit der Einleitung der PubertÃ¤t wird indes eine Ã¼berproportionale Beschleunigung des Knochenalters bewirkt und das GrÃ¶ssenwachstum gehemmt. Bei Andriol handelt es sich daher um ein zur Behandlung des Grosswuchs bei Knaben geeignetes PrÃ¤parat.</w:t>
      </w:r>
    </w:p>
    <w:p>
      <w:r>
        <w:t>5.Â Â Â Â Â Â  Nach Gesagtem ist daher nicht zu beanstanden, dass die Beschwerdegegnerin eine VergÃ¼tungspflicht fÃ¼r die Kosten einer Behandlung mit dem Medikament Nebido verneinte. Somit ist die gegen den angefochtenen Einspracheentscheid vom 26. September 2007 (Urk. 2) erhobene Beschwerde abzuweisen.</w:t>
      </w:r>
    </w:p>
    <w:p>
      <w:r>
        <w:t>Das Gericht erkennt:</w:t>
      </w:r>
    </w:p>
    <w:p>
      <w:r>
        <w:t>1.Â Â Â Â Â Â Â Â  Die Beschwerde wird abgewiesen.</w:t>
      </w:r>
    </w:p>
    <w:p>
      <w:r>
        <w:t>2.Â Â Â Â Â Â Â Â  Das Verfahren ist kostenlos.</w:t>
      </w:r>
    </w:p>
    <w:p>
      <w:r>
        <w:t>3.Â Â Â Â Â Â Â Â  Zustellung gegen Empfangsschein an:</w:t>
      </w:r>
    </w:p>
    <w:p>
      <w:r>
        <w:t>- C.___</w:t>
      </w:r>
    </w:p>
    <w:p>
      <w:r>
        <w:t>- Krankenkasse Agrisano</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