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KV.2007.00048 vom 31. Dezember 2007</w:t>
      </w:r>
    </w:p>
    <w:p>
      <w:r>
        <w:t>ZH Sozialversicherungsgericht, 2007-12-31, DE</w:t>
      </w:r>
    </w:p>
    <w:p>
      <w:r>
        <w:rPr>
          <w:b/>
        </w:rPr>
        <w:t xml:space="preserve">Quelle: </w:t>
      </w:r>
      <w:r>
        <w:t>https://mcp.opencaselaw.ch/entscheid/zh_sozialversicherungsgericht_KV.2007.00048</w:t>
      </w:r>
    </w:p>
    <w:p>
      <w:r>
        <w:t>FR: ZH_SOZIALVERSICHERUNGSGERICHT KV.2007.00048 du 31 décembre 2007</w:t>
      </w:r>
    </w:p>
    <w:p>
      <w:r>
        <w:t>IT: ZH_SOZIALVERSICHERUNGSGERICHT KV.2007.00048 del 31 dicembre 2007</w:t>
      </w:r>
    </w:p>
    <w:p>
      <w:pPr>
        <w:pStyle w:val="Heading2"/>
      </w:pPr>
      <w:r>
        <w:t>Erwägungen</w:t>
      </w:r>
    </w:p>
    <w:p>
      <w:r>
        <w:rPr>
          <w:b/>
        </w:rPr>
        <w:t>E. 1</w:t>
      </w:r>
    </w:p>
    <w:p>
      <w:r>
        <w:t>1.1Â Â Â Â  Nach Art. 49 Abs. 1 des Bundesgesetzes Ã¼ber den Allgemeinen Teil des Sozialversicherungsrechts (ATSG) hat der VersicherungstrÃ¤ger Ã¼ber Leistungen, Forderungen und Anordnungen, die erheblich sind oder mit denen die betroffene Person nicht einverstanden ist, schriftlich VerfÃ¼gungen zu erlassen. Leistungen, Forderungen und Anordnungen, die nicht unter Art. 49 Abs. 1 ATSG fallen, kÃ¶nnen nach Art. 51 Abs. 1 ATSG in einem formlosen Verfahren behandelt werden, wobei die betroffene Person gemÃ¤ss Abs. 2 dieser Bestimmung den Erlass einer VerfÃ¼gung verlangen kann. Im Bereich des Krankenversicherungsrechts werden nach Art. 80 Abs. 1 des Bundesgesetzes Ã¼ber die Krankenversicherung (KVG) alle Versicherungsleistungen im formlosen Verfahren nach Art. 51 ATSG gewÃ¤hrt, in Abweichung von Art. 49 Abs. 1 ATSG auch die erheblichen Leistungen. Gegen VerfÃ¼gungen kann gemÃ¤ss Art. 52 Abs. 1 ATSG bei der verfÃ¼genden Stelle Einsprache erhoben werden, und gegen Einspracheentscheide ist gestÃ¼tzt auf Art. 56 Abs. 1 ATSG (in Verbindung mit Art. 57 ATSG) das Rechtsmittel der Beschwerde an das kantonale Versicherungsgericht gegeben.Â</w:t>
      </w:r>
    </w:p>
    <w:p>
      <w:r>
        <w:t>1.2Â Â Â Â  GemÃ¤ss Art. 56 Abs. 2 ATSG kann auch dann Beschwerde erhoben werden, wenn der VersicherungstrÃ¤ger entgegen dem Begehren der betroffenen Person keine VerfÃ¼gung oder keinen Einspracheentscheid erlÃ¤sst. Gegenstand einer solchen Rechtsverweigerungs- oder RechtsverzÃ¶gerungsbeschwerde bilden - wie bereits vor Inkrafttreten des ATSG (RKUV 2000 Nr. KV 131 S. 246 Erw. 2d) - nicht die materiellen Rechte und Pflichten, sondern einzig die Frage der Rechtsverweigerung oder -verzÃ¶gerung (Urteil des EidgenÃ¶ssischen Versicherungsgerichts in Sachen J. vom 23. Oktober 2003, K 55/03; vgl. auch Kieser, ATSG-Kommentar, Rz 12 zu Art. 56).</w:t>
      </w:r>
    </w:p>
    <w:p>
      <w:r>
        <w:t>1.3Â Â Â Â  Eine RechtsverzÃ¶gerung und damit eine Verletzung von Art. 29 Abs. 1 der Bundesverfassung (BV) liegt nach der Rechtsprechung unter anderem dann vor, wenn eine VerwaltungsbehÃ¶rde sich zwar bereit zeigt, einen Entscheid zu treffen, diesen aber nicht binnen der Frist fasst, welche nach der Natur der Sache und nach der Gesamtheit der Ã¼brigen UmstÃ¤nde als angemessen erscheint. Ausnahmsweise kann eine RechtsverzÃ¶gerung aber auch in Form einer positiven Anordnung begangen werden, wobei hiefÃ¼r namentlich VerfahrensverlÃ¤ngerungen durch unnÃ¶tige Beweismassnahmen oder EinrÃ¤umung ungehÃ¶rig langer Fristen in Betracht fallen (vgl. BGE 131 V 409 f. Erw. 1.1; Urteil des EidgenÃ¶ssischen Versicherungsgerichtes in Sachen C. vom 28. Dezember 2001, K 65/01, Erw. 3a). Lehre und Rechtsprechung lassen in einem solchen Fall eine Beschwerde bereits in diesem Zeitpunkt zu, sodass die betroffene Person nicht zuwarten muss, bis die RechtsverzÃ¶gerung tatsÃ¤chlich eintritt, sondern sofort geltend machen kann, die VerfÃ¼gung habe eine ungerechtfertigte VerzÃ¶gerung zur Folge (BGE 126 V 248 Erw. 2d [Fall einer prozessleitenden VerfÃ¼gung]; Lorenz Meyer, Das RechtsverzÃ¶gerungsverbot nach Art. 4 BV, Diss. Bern 1985, S. 71 f.; Urteil des EidgenÃ¶ssischen Versicherungsgerichts vom 28. Dezember 2001 in Sachen C., K 65/01).</w:t>
      </w:r>
    </w:p>
    <w:p>
      <w:r>
        <w:rPr>
          <w:b/>
        </w:rPr>
        <w:t>E. 2</w:t>
      </w:r>
    </w:p>
    <w:p>
      <w:r>
        <w:t>2.1Â Â Â Â  Eine Erkrankung des Kiefergelenks in Form einer Kiefergelenksarthrose stellt gemÃ¤ss Art. 17 lit. d Ziff. 1 der Krankenpflege-Leistungsverordnung (KLV) eine schwere, nicht vermeidbare Erkrankung des Kausystems im Sinne von Art. 31 Abs. 1 lit. a KVG und damit eine Pflichtleistung der obligatorischen Krankenpflegeversicherung dar. Dies anerkennt auch die SWICA. Jedoch stellt sie in Frage, ob der BeschwerdefÃ¼hrer Ã¼berhaupt an einer Kiefergelenksarthrose leidet. Ihre Haltung, keinen Einspracheentscheid in der Sache zu erlassen, begrÃ¼ndet sie damit, dass der Sachverhalt zur ÃberprÃ¼fung der Diagnose einer Kiefergelenksarthrose noch nicht hinreichend geklÃ¤rt sei (Urk. 6, Urk. 12). Ihre Zweifel an der Richtigkeit an der von Dr. A.___ gestellten Diagnose grÃ¼nden auf dem Bericht ihres Vertrauensarztes Dr. B.___ vom 12. August 2006 (Urk. 6 S. 4, Urk. 7/14).</w:t>
      </w:r>
    </w:p>
    <w:p>
      <w:r>
        <w:t>Â Â Â Â Â Â Â Â  Dr. B.___ gab seine Beurteilung gestÃ¼tzt auf den Antrag von Dr. A.___ vom 22. Februar 2006 ab. Darin stÃ¼tzte Dr. A.___ die Diagnose einer Kiefergelenksarthrose auf das von ihm veranlasste Orthopantomogramm und die von ihm erhobenen Befunde. Als Befunde gab er an: gepflegtes teilsaniertes Gebiss mit extremen Attritionsspuren auf allen OkklusalflÃ¤chen, ReibungsgerÃ¤usche in beiden Kiefergelenken, palpationsdolente Musculus Masseteri et Temporales bilateral und zum Teil bis zur Pulpa attritierte Zahnkronen (Urk. 7/3). Aus der ihm zur VerfÃ¼gung stehenden Kopie des Orthopantomogramms schloss Dr. B.___ dagegen auf einen vernachlÃ¤ssigten, desolaten Vorzustand. Allerdings sei die Kopie des Orthopantomogramms fÃ¼r eine hinreichende Beurteilung von zu schlechter QualitÃ¤t, wobei auch gute Original-Orthopantomogramme hÃ¶chstens eine Vermutungsdiagnose zuliessen. Aus den angegebenen Befunden allein kÃ¶nne nicht auf eine Arthrose geschlossen werden. An wesentlichen klinischen Angaben fehle es weitgehend. FÃ¼r den Beweis der Diagnose einer Kiefergelenksarthrose bedÃ¼rfe es eines Magnetic Resonance Imaging, allenfalls sei auch ein Original-Orthopantomogramm mit besserer Darstellung der Gelenke hinreichend, sowie klinischer Symptome mit Krankheitswert (Schmerzen, Einengung der Bewegungen, GerÃ¤usche, Abweichen des Unterkiefers nach der Seite beim Ãffnen etc.). Sodann sei in diesem Fall eine second opinion notwendig. DarÃ¼ber hinaus kritisierte er das von Dr. A.___ geplante Vorgehen zur Verbesserung der BissfÃ¤higkeit und erachtete die KostenschÃ¤tzung als inakzeptabel (Urk. 7/14).</w:t>
      </w:r>
    </w:p>
    <w:p>
      <w:r>
        <w:t>2.2Â Â Â Â  Aus dem vom Vertrauenszahnarzt der Beschwerdegegnerin erstellten, ausfÃ¼hrlichen Aktenbericht vom 12. August 2006 geht damit deutlich hervor, dass der BeschwerdefÃ¼hrer einen erheblichen Befund am Gebiss aufweist. Der Arzt kam bereits aufgrund der wenigen Unterlagen zum Schluss, es handle sich um einen vernachlÃ¤ssigten, desolaten Zustand. Er stellte dabei erhebliche VorzustÃ¤nde fest, betonte aber gleichzeitig die Notwendigkeit weiterer Untersuchungsmassnahmen zur ErhÃ¤rtung der Diagnose einer Kiefergelenksarthrose. Aus seinem Bericht geht sodann die EinschÃ¤tzung hervor, dass es sich um einen komplexen Sachverhalt handelt und dass selbst der Beizug der Originale des Orthopantomogrammes von Dr. A.___ fÃ¼r einen hinreichenden Schluss, ob eine Kiefergelenksarthrose vorliegt und welche Behandlung in diesem Fall aus der Sicht des Krankenversicherers zu Ã¼bernehmen wÃ¤re, nicht hinreichend wÃ¤re, indem er weitere AbklÃ¤rungsmassnahmen fÃ¼r notwendig hielt und er bereits damals die Einholung einer Zweitmeinung bei diesem erheblichen und multifaktoriellen Befund fÃ¼r unerlÃ¤sslich befand.</w:t>
      </w:r>
    </w:p>
    <w:p>
      <w:r>
        <w:t>Â Â Â Â Â Â Â Â  Dem VersicherungstrÃ¤ger kommt im Rahmen seiner AbklÃ¤rungspflicht (Art. 43 Abs. 1 ATSG) ein Ermessensspielraum zu (vgl. Urteil des Schweizerischen Bundesgerichts, I. sozialrechtliche Abteilung, in Sachen W. vom 29. Mai 2007, U 571/06, Erw. 4.1). Es ist daher zwar nicht zu beanstanden, dass die SWICA nach Eingang des vertrauensÃ¤rztlichen Berichts zunÃ¤chst am 14. August 2006 an Dr. A.___ gelangte, um unter Fristansetzung nÃ¤here Auskunft Ã¼ber die Diagnose, Anamnese, bereits durchgefÃ¼hrte Massnahmen, Befunde Ã¼ber Erfolge der Therapie und verordnete Medikamente zu erhalten sowie Dr. A.___ zur Einreichung von radiologischen Bildern (Computertomographie, Magnetic Resonance Imaging) und des Original-Orthopantomogramms anzuhalten (Urk. 7/15). Dass jedoch nach dieser erfolglosen Aufforderung an den Arzt und nach einer erneuten Aufforderung an den Arzt am 30. November 2006 - diesfalls unter Hinweis auf seine Mitwirkungspflicht -, die aus der Sicht der Beschwerdegegnerin wiederum erfolglos verlaufen war, die Beschwerdegegnerin am 7. Februar 2007 einzig noch einmal die gleichen Fragen stellte, jedoch nun an den Versicherten gerichtet und mit der Aufgabe verbunden, er mÃ¶chte nun die Antworten auf diese Fragen beim Arzt organisieren, ist als Verletzung ihrer AbklÃ¤rungspflicht zu wÃ¼rdigen. Denn augenfÃ¤lligerweise musste sie mit einem Arzt rechnen, der seiner Mitwirkungspflicht nicht nachzukommen gedachte. Bei einer solchen Sachlage geht es nicht an, die AbklÃ¤rungspflicht auf die versicherte Person zu Ã¼berwÃ¤lzen und liegt keine Verletzung der Mitwirkungspflicht des Versicherten vor, wenn dieser keine Unterlagen einreicht. Vielmehr hat der Versicherer mittels eigener AbklÃ¤rungsmassnahmen den massgebenden Sachverhalt selber zu erstellen (Art. 43 Abs. 1 ATSG; Kieser, ATSG-Kommentar, Art. 43 Rz 37). Dies hÃ¤tte sich vorliegend umso mehr aufgedrÃ¤ngt, als seitens des Vertrauensarztes der Beschwerdegegnerin hinsichtlich der EinschÃ¤tzung von Dr. A.___ bereits zu Beginn erhebliche Zweifel geÃ¤ussert und die Einholung einer Zweitmeinung als notwendig erachtet worden war.</w:t>
      </w:r>
    </w:p>
    <w:p>
      <w:r>
        <w:t>Â Â Â Â Â Â Â Â  Sodann erhielt die SWICA mit Schreiben des BeschwerdefÃ¼hrers vom 6. MÃ¤rz 2007 eine CD-Rom mit den Original-Orthopantomogrammen (vgl. Urk. 7/22). Damit war sie in der Lage zu entscheiden, ob sie diese als genÃ¼gend aussagekrÃ¤ftig erachtete, um das Vorliegen einer Kiefergelenksarthrose zu beurteilen, oder ob sie eine Anfertigung eines Magnetic Resonance Imaging anordnen wollte. Im Schreiben vom 6. MÃ¤rz 2007 ersuchte der BeschwerdefÃ¼hrer im Ãbrigen um umgehende Ausfertigung eines beschwerdefÃ¤higen Einspracheentscheids (Urk. 7/22).</w:t>
      </w:r>
    </w:p>
    <w:p>
      <w:r>
        <w:t>Â Â Â Â Â Â Â Â  Aufgrund dieser Sachlage hÃ¤tte die SWICA spÃ¤testens nach Eingang des Schreibens des BeschwerdefÃ¼hrers vom 6. MÃ¤rz 2007 innert kurzer Frist den Einspracheentscheid erlassen oder weiterfÃ¼hrende AbklÃ¤rungsmassnahmen tÃ¤tigen mÃ¼ssen. Dies hat sie jedoch unterlassen, was sich weder mit dem Untersuchungsgrundsatz (Art. 43 Abs. 1 ATSG) noch mit dem Gebot der Raschheit des Verfahrens (Art. 61 lit. a ATSG als Ausdruck eines allgemeinen Verfahrensgrundsatzes; BGE 110 V 54 E. 4b S. 61 mit Hinweis) vereinbaren lÃ¤sst und mangels TÃ¤tigwerdens innert angemessener Frist als RechtsverzÃ¶gerung bzw. Rechtsverweigerung zu qualifizieren ist (BGE 103 V 195 Erw. 3c; vgl. auch BGE 119 Ib 325 Erw. 5b mit Hinweisen; Urteil des Schweizerischen Bundesgerichts, I. sozialrechtliche Abteilung, in Sachen D. vom 22. Dezember 2007, 8C_344/2007, Erw. 3.1).</w:t>
      </w:r>
    </w:p>
    <w:p>
      <w:r>
        <w:t>2.3Â Â Â Â  Damit ist die Beschwerdegegnerin anzuhalten, ohne jeglichen Verzug Ã¼ber die Einsprache vom 3. November 2006 zu entscheiden beziehungsweise die weiteren Untersuchungen - wie in der Beschwerdeantwort bereits angekÃ¼ndigt - unverzÃ¼glich einzuleiten, zÃ¼gig voranzutreiben und alsdann Ã¼ber die Einsprache befÃ¶rderlich zu entscheiden.</w:t>
      </w:r>
    </w:p>
    <w:p>
      <w:r>
        <w:t>Â Â Â Â Â Â Â Â</w:t>
      </w:r>
    </w:p>
    <w:p>
      <w:r>
        <w:rPr>
          <w:b/>
        </w:rPr>
        <w:t>E. 3</w:t>
      </w:r>
    </w:p>
    <w:p>
      <w:r>
        <w:t>3.1Â Â Â Â  GemÃ¤ss Art. 61 lit. a ATSG ist das Verfahren vor dem kantonalen Versicherungsgericht in der Regel kostenlos; einer Partei, die sich mutwillig oder leichtsinnig verhÃ¤lt, kÃ¶nnen jedoch eine SpruchgebÃ¼hr und die Verfahrenskosten auferlegt werden.</w:t>
      </w:r>
    </w:p>
    <w:p>
      <w:r>
        <w:t>Â Â Â Â Â Â Â Â  Nach Art. 61 lit. g ATSG hat die obsiegende Beschwerde fÃ¼hrende Partei Anspruch auf Ersatz der Parteikosten. Diese werden ohne RÃ¼cksicht auf den Streitwert nach der Bedeutung der Streitsache und nach der Schwierigkeit des Prozesses bemessen. Es rechtfertigt sich, dem BeschwerdefÃ¼hrer eine ProzessentschÃ¤digung von Fr. 1'300.-- (inkl. Mehrwertsteuer und Barauslagen) zuzusprechen.</w:t>
      </w:r>
    </w:p>
    <w:p>
      <w:r>
        <w:t>3.2Â Â Â Â Â Â Â Â  Mutwillige ProzessfÃ¼hrung kann darin begrÃ¼ndet liegen, dass eine Partei eine ihr in dieser Eigenschaft obliegenden Pflicht (z.B. Mitwirkungs-, Unterlassungspflicht) verletzt (BGE 112 V 335 Erw. 5a). Dass die Beschwerdegegnerin ihre AbklÃ¤rungspflicht verletzte, vermag allein einen Vorwurf der Mutwilligkeit nicht zu begrÃ¼nden. Jedoch ist ihr Verhalten im Gesamtkontext betrachtet als mutwillig zu qualifizieren. Selbst als die von ihr geforderten Original-Orthopantomogramme eintrafen, beharrte die SWICA auf den zusÃ¤tzlichen Bericht von Dr. A.___, obschon von diesem keine wesentlichen neuen Erkenntnisse zu erwarten gewesen waren, zumal Dr. A.___ bereits mit dem Antrag vom 22. Februar 2006 eine aus seiner Sicht klare Diagnose abgegeben hatte. Sodann hÃ¤tte dieser Bericht an der weiteren AbklÃ¤rungsbedÃ¼rftigkeit des Sachverhalts nichts geÃ¤ndert, was bereits aufgrund der Stellungnahme des Vertrauensarztes vom 12. August 2006 klar sein musste und sich nun auch mit der in der Beschwerdeantwort in Aussicht gestellten Veranlassung eines Gutachtens bestÃ¤tigte. Indem die SWICA mit jeweils stereotypen Aufforderungen die Vornahme weiterer AbklÃ¤rungsschritte von der Einreichung des von ihr - in Verletzung ihrer eigenen AbklÃ¤rungspflicht - geforderten Berichts von Dr. A.___ abhÃ¤ngig machte, zwang sie damit letztlich den BeschwerdefÃ¼hrer, wollte er sich dadurch nicht abschrecken lassen, den Rechtsweg zu beschreiten. Damit erscheint dieses Verfahren als durch die Beschwerdegegnerin mutwillig verursacht und das Verhalten ist durch Auferlegung der Gerichtskosten zu sanktionieren.</w:t>
      </w:r>
    </w:p>
    <w:p>
      <w:r>
        <w:t>Das Gericht erkennt:</w:t>
      </w:r>
    </w:p>
    <w:p>
      <w:r>
        <w:t>1.Â Â Â Â Â Â Â Â  In Gutheissung der Beschwerde wird die SWICA Krankenversicherung AG verpflichtet, Ã¼ber ihre Leistungspflicht fÃ¼r die am 22. Februar 2006 beantragte zahnmedizinische Behandlung befÃ¶rderlich zu befinden.</w:t>
      </w:r>
    </w:p>
    <w:p>
      <w:r>
        <w:t>2.Â Â Â Â Â Â Â Â  Die Beschwerdegegnerin wird verpflichtet, dem BeschwerdefÃ¼hrer eine ProzessentschÃ¤digung von Fr. 1'300.-- (inkl. Mehrwertsteuer und Barauslagen) zu bezahlen.</w:t>
      </w:r>
    </w:p>
    <w:p>
      <w:r>
        <w:t>3.Â Â Â Â Â Â Â Â  Die Kosten des Verfahrens, bestehend aus:</w:t>
      </w:r>
    </w:p>
    <w:p>
      <w:r>
        <w:t>SpruchgebÃ¼hr:Â Â Â Â Â Â Â Â Â Â Â Â  Fr.Â Â Â Â Â Â Â Â Â Â Â Â  500.--</w:t>
      </w:r>
    </w:p>
    <w:p>
      <w:r>
        <w:t>SchreibgebÃ¼hren:Â Â Â Â Â Â Â Â Â Â Â Â  Fr.Â Â Â Â Â Â Â Â Â Â Â Â  406.--</w:t>
      </w:r>
    </w:p>
    <w:p>
      <w:r>
        <w:t>ZustellungsgebÃ¼hren:Â Â Â Â Â Â Â Â Â Â Â Â  Fr.Â Â Â Â Â Â Â Â Â Â Â Â  220.--</w:t>
      </w:r>
    </w:p>
    <w:p>
      <w:r>
        <w:t>Total:Â Â Â Â Â Â Â Â Â Â Â Â  Fr.Â Â Â Â Â Â Â Â Â Â Â Â  1'126.--</w:t>
      </w:r>
    </w:p>
    <w:p>
      <w:r>
        <w:t>werden der SWICA Krankenversicherung AG auferlegt. Rechnung und Einzahlungsschein werden der Kostenpflichtigen nach Eintritt der Rechtskraft zugestellt.</w:t>
      </w:r>
    </w:p>
    <w:p>
      <w:r>
        <w:t>4.Â Â Â Â Â Â Â Â Â Â  Zustellung gegen Empfangsschein an:</w:t>
      </w:r>
    </w:p>
    <w:p>
      <w:r>
        <w:t>- SWICA Krankenversicherung AG</w:t>
      </w:r>
    </w:p>
    <w:p>
      <w:r>
        <w:t>- Helsana-advocare</w:t>
      </w:r>
    </w:p>
    <w:p>
      <w:r>
        <w:t>- Bundesamt fÃ¼r Gesundheit</w:t>
      </w:r>
    </w:p>
    <w:p>
      <w:r>
        <w:t>Â Â Â Â Â Â Â Â Â Â  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