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KV.2006.00027 vom 27. Juli 2007</w:t>
      </w:r>
    </w:p>
    <w:p>
      <w:r>
        <w:t>ZH Sozialversicherungsgericht, 2007-07-27, DE</w:t>
      </w:r>
    </w:p>
    <w:p>
      <w:r>
        <w:rPr>
          <w:b/>
        </w:rPr>
        <w:t xml:space="preserve">Quelle: </w:t>
      </w:r>
      <w:r>
        <w:t>https://mcp.opencaselaw.ch/entscheid/zh_sozialversicherungsgericht_KV.2006.00027</w:t>
      </w:r>
    </w:p>
    <w:p>
      <w:r>
        <w:t>FR: ZH_SOZIALVERSICHERUNGSGERICHT KV.2006.00027 du 27 juillet 2007</w:t>
      </w:r>
    </w:p>
    <w:p>
      <w:r>
        <w:t>IT: ZH_SOZIALVERSICHERUNGSGERICHT KV.2006.00027 del 27 luglio 2007</w:t>
      </w:r>
    </w:p>
    <w:p>
      <w:pPr>
        <w:pStyle w:val="Heading2"/>
      </w:pPr>
      <w:r>
        <w:t>Erwägungen</w:t>
      </w:r>
    </w:p>
    <w:p>
      <w:r>
        <w:rPr>
          <w:b/>
        </w:rPr>
        <w:t>E. 1</w:t>
      </w:r>
    </w:p>
    <w:p>
      <w:r>
        <w:t>Der angefochtene Einspracheentscheid vom 28. Februar 2006 sowie die VerfÃ¼gung vom 18. Oktober 2005 seien aufzuheben und es sei die Leistungspflicht fÃ¼r die Behandlung durch Dr. Dr. A.___ mit Aufenthalt in der F.___ ab 3. MÃ¤rz 2005 (inkl. Nachbehandlung) und prothetischer Rekonstruktion und aller damit im Zusammenhang stehenden Leistungen festzustellen und die Beschwerdegegnerin sei zu verpflichten, die entsprechenden Kosten der BeschwerdefÃ¼hrerin zu vergÃ¼ten bzw. die Leistungserbringer eventuell direkt zu bezahlen.</w:t>
      </w:r>
    </w:p>
    <w:p>
      <w:r>
        <w:rPr>
          <w:b/>
        </w:rPr>
        <w:t>E. 2</w:t>
      </w:r>
    </w:p>
    <w:p>
      <w:r>
        <w:t>Eventualiter sei die Sache zur weiteren AbklÃ¤rung zurÃ¼ckzuweisen.</w:t>
      </w:r>
    </w:p>
    <w:p>
      <w:r>
        <w:rPr>
          <w:b/>
        </w:rPr>
        <w:t>E. 3</w:t>
      </w:r>
    </w:p>
    <w:p>
      <w:r>
        <w:t>3.1Â Â Â Â  Die Beschwerdegegnerin stÃ¼tzt sich bei ihrer Leistungsablehnung im Wesentlichen auf die Stellungnahmen ihres Vertrauenszahnarztes Dr. B.___ sowie auf den mit der Beschwerdeantwort eingereichten RÃ¶ntgenbericht des C.___ vom 28. Juni 2005 (Urk. 7/35). BezÃ¼glich dieses RÃ¶ntgenberichtes ist strittig und vorab zu prÃ¼fen, ob er in diesem Verfahren berÃ¼cksichtigt werden kann (vgl. Urk. 10 S. 4).</w:t>
      </w:r>
    </w:p>
    <w:p>
      <w:r>
        <w:rPr>
          <w:b/>
        </w:rPr>
        <w:t>E. 3.2</w:t>
      </w:r>
    </w:p>
    <w:p>
      <w:r>
        <w:t>3.2.1Â Â  Auch fÃ¼r die Verwaltungsjustizorgane gilt ein Verbot der Verwertung rechtswidrig erlangter Beweismittel. Dieses Verwertungsverbot gilt allerdings nicht absolut: Nur wenn die Beweismittel nicht auch rechtmÃ¤ssig hÃ¤tten beschafft werden kÃ¶nnen, ist deren BerÃ¼cksichtigung untersagt. Diese Praxis wurde in BGE 109 Ia 244 ff. dahingehend ergÃ¤nzt, dass rechtswidrig erlangte Beweismittel auch dann nicht verwertet werden dÃ¼rfen, wenn bei ihrer Beschaffung ein Rechtsgut verletzt wurde, das im konkreten Fall den Vorrang vor dem Interesse an der Erforschung der Wahrheit und der Durchsetzung des Rechts verdient (BGE 120 V 439 Erw. 3b).</w:t>
      </w:r>
    </w:p>
    <w:p>
      <w:r>
        <w:t>3.2.2Â Â  Nach Art. 84 KVG sind die mit der DurchfÃ¼hrung sowie der Kontrolle oder der Beaufsichtigung der DurchfÃ¼hrung dieses Gesetzes betrauten Organe, wozu auch die Krankenversicherer gehÃ¶ren, befugt, die Personendaten, einschliesslich besonders schÃ¼tzenswerter Daten und PersÃ¶nlichkeitsprofile, zu bearbeiten oder bearbeiten zu lassen, die sie benÃ¶tigen, um die ihnen nach diesem Gesetz Ã¼bertragenen Aufgaben zu erfÃ¼llen, namentlich unter anderem um LeistungsansprÃ¼che zu beurteilen sowie Leistungen zu berechnen, zu gewÃ¤hren und mit Leistungen anderer Sozialversicherer zu koordinieren (Abs. 1 lit. c). Die Bearbeitung von Personendaten muss sich auf das beschrÃ¤nken, was zur ErfÃ¼llung der Aufgaben nÃ¶tig ist; besondere Bestimmungen, wie etwa Art. 42 KVG, haben Vorrang vor der allgemeinen Regelung (Urteil des Schweizerischen Bundesgerichtes in Sachen Stadt ZÃ¼rich vom 21. MÃ¤rz 2007, K 12/06, Erw. 6.4). Nach Art. 42 Abs. 3 KVG muss der Leistungserbringer dem Schuldner (d.h. im System des Tiers payant dem Versicherer) eine detaillierte und verstÃ¤ndliche Rechnung zustellen. Er muss ihm auch alle Angaben machen, die er benÃ¶tigt, um die Berechnung der VergÃ¼tung und die Wirtschaftlichkeit der Leistung Ã¼berprÃ¼fen zu kÃ¶nnen (Art. 42 Abs. 3 Satz 1 und 2 KVG). Der Versicherer kann eine genaue Diagnose oder zusÃ¤tzliche AuskÃ¼nfte medizinischer Natur verlangen (Art. 42 Abs. 4 KVG). Der Leistungserbringer ist in begrÃ¼ndeten FÃ¤llen berechtigt und auf Verlangen der versicherten Person in jedem Fall verpflichtet, medizinische Angaben nur dem Vertrauensarzt oder der VertrauensÃ¤rztin des Versicherers nach Artikel 57 bekannt zu machen (Art. 42 Abs. 5 KVG). Die Art. 42 Abs. 3 und 4 sowie Art. 84 und 84a KVG stellen eine formellgesetzliche Grundlage im Sinne von Art. 17 Abs. 2 des Bundesgesetzes Ã¼ber den Datenschutz (DSG) dar. Ist eine Datenbearbeitung nach diesen Bestimmungen rechtmÃ¤ssig, besteht kein Raum, sie gestÃ¼tzt auf das Datenschutzgesetz als unrechtmÃ¤ssig zu erklÃ¤ren (Urteil des Schweizerischen Bundesgerichtes vom 21. MÃ¤rz 2007 in Sachen Stadt ZÃ¼rich, K 12/06, Erw. 6.4).</w:t>
      </w:r>
    </w:p>
    <w:p>
      <w:r>
        <w:t>3.2.3Â Â  Die in Art. 42 Abs. 3 und 4 KVG statuierte Auskunftspflicht der Leistungserbringer beinhaltet keine verfahrensrechtliche, sondern eine materiellrechtliche Editionspflicht. Der Leistungserbringer hat der Verwaltung des Versicherers im Hinblick auf die ÃberprÃ¼fung der Berechnung der VergÃ¼tung und der Beurteilung der Wirtschaftlichkeit die medizinische Dokumentation in geeigneter Form zukommen zu lassen (vgl. daneben die Auskunftspflicht der Leistungserbringer gegenÃ¼ber den VertrauensÃ¤rzten gemÃ¤ss Art. 57 Abs. 6 KVG in Verbindung mit Art. 42 Abs. 5 KVG). Dabei richtet sich der Umfang der Auskunftspflicht danach, was der Schuldner fÃ¼r die Durchsetzung seiner Rechte (und der Pflicht zur Kontrolle der Wirtschaftlichkeit gemÃ¤ss Art. 32 KVG) als notwendig erachtet (Urteil des EidgenÃ¶ssischen Versicherungsgerichtes in Sachen F. vom 18. Mai 2006, K 7/05, Erw. 4.2). Die Auskunftspflicht unterliegt freilich dem VerhÃ¤ltnismÃ¤ssigkeitsprinzip; sie kann sich sowohl im Lichte des Datenschutzrechts als auch unter BerÃ¼cksichtigung der administrativen Belastung fÃ¼r den Leistungserbringer nur auf Angaben erstrecken, die objektiv erforderlich und geeignet sind, um die Wirtschaftlichkeit der Leistungen Ã¼berprÃ¼fen zu kÃ¶nnen (BGE 131 II 413 S. 418 Erw. 2.5). Immerhin muss dem Versicherer dabei ein gewisser Beurteilungsspielraum eingerÃ¤umt werden, auf welche Weise und mit welchen Angaben er diese ÃberprÃ¼fung vornimmt (Urteil des Schweizerischen Bundesgerichtes in Sachen Stadt ZÃ¼rich vom 21. MÃ¤rz 2007, K 12/06, Erw. 6.5).</w:t>
      </w:r>
    </w:p>
    <w:p>
      <w:r>
        <w:t>3.3Â Â Â Â Â Â Â Â  Aufgrund der AusfÃ¼hrungen der Parteien und der Akten ist davon auszugehen, dass der Beschwerdegegnerin die Rechnung der Osteodensitometrieuntersuchung vom 28. Juni 2005 zur Leistungsabrechnung zugesandt worden ist. Im Zusammenhang mit der PrÃ¼fung der Rechnungskontrolle habe die Beschwerdegegnerin sodann den Bericht des C.___ vom 28. Juni 2005 eingeholt (vgl. Urk. 10 S. 4, 14 S. 3). Dieser Bericht lag dem Medizinischen Dienst der Be-schwerdegegnerin - wie sich aus dem darauf angebrachten Stempel ergibt - bereits im Dezember 2005 vor, ohne dass er dem Zahnarzt Dr. B.___ fÃ¼r seine ergÃ¤nzende Stellungnahme vom 15. Februar 2006 vorgelegt noch im Einspracheentscheid vom 28. Februar 2006 erwÃ¤hnt worden wÃ¤re (Urk. 2; 7/28 und 7/29). Damit bestehen keine Anhaltspunkte dafÃ¼r, dass die Beschwerdegegnerin den genannten Bericht erst im Zusammenhang mit dem vorliegenden Verfahren betreffend zahnÃ¤rztliche Leistungen eingefordert hat, wie dies die BeschwerdefÃ¼hrerin geltend machen liess (Urk. 10 S. 4). Im Weiteren ist ebenfalls davon auszugehen, dass die Einforderung des Berichtes des C.___ gestÃ¼tzt auf Art. 42 Abs. 3 und 4 KVG verhÃ¤ltnismÃ¤ssig war und sich rechtfertigen liess, da fÃ¼r Knochendensitometrieuntersuchungen nach Ziffer 9.1 des Anhangs 1 zur KLV lediglich eine stark eingeschrÃ¤nkte Leistungspflicht besteht.</w:t>
      </w:r>
    </w:p>
    <w:p>
      <w:r>
        <w:t>Â Â Â Â Â Â Â Â  Zu prÃ¼fen bleibt damit, ob die Beschwerdegegnerin berechtigt ist, diesen Bericht im vorliegenden Verfahren vorzulegen. Nach Art. 84 Abs. 1 lit. c KVG ist die Bearbeitung von Personendaten durch den Krankenversicherer unter anderem bei der Beurteilung von LeistungsansprÃ¼chen zulÃ¤ssig. Die Personendatenbearbeitung lÃ¤sst sich vorliegend damit einer im KVG verankerten Aufgabe zuordnen. Im Weiteren ist ohne weiteres davon auszugehen, dass der Beizug des RÃ¶ntgenberichtes fÃ¼r die Beurteilung der vorliegend strittigen Leistungspflicht notwendig und zweckmÃ¤ssig ist und das erforderliche Mass nicht Ã¼berschreitet (vgl. Art. 4 Abs. 2 DSG; Eugster, a.a.O., S. 627 Rz 693 und 695). Die im Zusammenhang mit der PrÃ¼fung einer ersten Leistungspflicht der obligatorischen Krankenpflegeversicherung vom Medizinischen Dienst eingeholte Information kann denn auch grundsÃ¤tzlich zur Beurteilung einer weiteren Leistungspflicht verwendet werden. Dies stellt keine Ãberschreitung des Grundsatzes der Zweckbindung dar (vgl. Art. 4 Abs. 3 DSG; vgl. dazu Eugster, a.a.O., S. 627 Rz 695; Eugster/LuginbÃ¼hl, Datenschutz in der obligatorischen Krankenpflegeversicherung, in: Datenschutz im Gesundheitswesen, ZÃ¼rich 2001, S. 86; vgl. demgegenÃ¼ber Urk. 10 S. 4). Die Vorlage des Berichtes des C.___ vom 28. Juni 2007 ist damit als rechtmÃ¤ssig zu betrachten. Das Sozialversicherungsgericht ist zudem gestÃ¼tzt auf Art. 47 Abs. 1 lit. c ATSG ebenfalls zur Einsicht in die entsprechenden Unterlagen berechtigt. Da somit weder von der rechtswidrigen Erlangung (vgl. Art. 4 Abs. 1 DSG) noch von der rechtswidrigen Verwendung des Berichtes des C.___ vom 28. Juni 2006 auszugehen ist (vgl. Art. 17 DSG), kann er fÃ¼r die Entscheidfindung berÃ¼cksichtigt werden.</w:t>
      </w:r>
    </w:p>
    <w:p>
      <w:r>
        <w:t>4.Â Â Â Â Â Â</w:t>
      </w:r>
    </w:p>
    <w:p>
      <w:r>
        <w:t>4.1Â Â Â Â  Nach den Angaben von Dr. Dr. A.___ im Schreiben vom 10. Februar 2005 (Urk. 7/1) bestand bei der Versicherten eine Atrophie im Oberkiefer beidseits sowie im Unterkiefer rechts. Im Oberkiefer bestehe eine seit Jahren hÃ¶chst mobile ausgedehnte Kronen-BrÃ¼cken-Rekonstruktion, welche aufgrund der Lockerung nur noch weichste Kost zulasse. Auf die Fragen des Krankenversicherers hin (vgl. Urk. 7/4) gab der Arzt und Zahnarzt an, auch wenn sich eine noch hochmobile ausgedehnte BrÃ¼ckenkonstruktion im Oberkiefer (PfeilerzÃ¤hne 15, 14, 13, 24) befinde, sei es in den umgebenden Alveolarfortsatzregionen zu einer starken Atrophie vertikal und bukko-oral gekommen, so dass Art. 17 Abs. 1 lit. c KLV zur Anwendung kommen dÃ¼rfte. Die Cawood Klassierung beurteilte er mit III bis V (vor allem Oberkiefer Front und Oberkiefer Seitenzahnsegment). Nachdem die aktuell bestehende Situation Ã¼ber viele Jahre mit der anamnestisch mehrfach geÃ¤usserten Prognose "ZÃ¤hne so lange wie mÃ¶glich halten, dann RÃ¤umung und totalprothetische Versorgung" hingeschleppt worden sei, stÃ¼nden ihm aus der Zuweisungspraxis keine Vorbilder zur VerfÃ¼gung, welche zur Einsicht zugestellt werden kÃ¶nnten (Urk. 7/6; vgl. auch Urk. 7/7 und 7/8).</w:t>
      </w:r>
    </w:p>
    <w:p>
      <w:r>
        <w:t>4.2Â Â Â Â  Nach durchgefÃ¼hrtem Eingriff fÃ¼hrte Dr. Dr. A.___ am 30. MÃ¤rz 2005 aus, die intraoperativ vorgefundene KnochenqualitÃ¤t habe durchaus nicht der Norm entsprochen, was im histologischen Befund von Prof. D.___ mit "verstÃ¤rktem Knochenumbau" bestÃ¤tigt werde. Der Knochen im Oberkiefer habe eine "zwiebackÃ¤hnliche" Konsistenz aufgewiesen und sei in der Bearbeitung Ã¤usserst delikat gewesen (Urk. 7/10). Die histologische Untersuchung des Probematerials des Oberkiefers links ergab vitales Knochengewebe mit Zeichen des verstÃ¤rkten Umbaus mit dicken Zementlinien und herdfÃ¶rmiger Fibrose peripher. Bei der Probe aus dem Beckenkamm rechts zeigten sich die KnochenbÃ¤lkchen schmal und die MarkrÃ¤ume unauffÃ¤llig und es wurde das Vorliegen einer diskreten Osteoporose festgehalten (Urk. 7/10; vgl. die entsprechenden Stellungnahme von Vertrauenszahnarzt Dr. E.___, Urk. 7/12 und 7/13).</w:t>
      </w:r>
    </w:p>
    <w:p>
      <w:r>
        <w:t>4.3Â Â Â Â  Am 28. Juli 2005 bestÃ¤tigte Dr. Dr. A.___ gegenÃ¼ber der BeschwerdefÃ¼hrerin, dass bei ihr vorbestehende Magen-Darmprobleme (welche andernorts dokumentiert seien) bestanden hÃ¤tten und die Prognose der Restbezahnung schlecht gewesen und deshalb der Entscheid getroffen worden sei, baldmÃ¶glichst in noch ordentlichem Allgemeinzustand den operativen Eingriff durchzufÃ¼hren, um spÃ¤ter zu erwartende weitere Magen-Darmprobleme zu vermeiden (Urk. 7/14).</w:t>
      </w:r>
    </w:p>
    <w:p>
      <w:r>
        <w:t>4.4Â Â Â Â  Nach den Angaben von Vertrauenszahnarzt Dr. E.___ vom 30. August 2005 geht aus allen Unterlagen hervor, dass die Versicherte schon lange mit ausgedehnter prothetischer Rekonstruktion versorgt gelebt hatte. Die Situation sei Ã¼ber Jahre hingeschleppt und die beweglichen ZÃ¤hne seien erhalten worden, was zum Knochenabbau im Seitenzahnbereich gefÃ¼hrt habe. BezÃ¼glich Frontzahnbereich sei rÃ¶ntgenologisch ein Kiefersegment mit ausgeheiltem atrophiertem Knochen sichtbar, was eindeutig fÃ¼r eine Atrophie durch den Verlust der Knochenfunktion spreche (Urk. 7/17).</w:t>
      </w:r>
    </w:p>
    <w:p>
      <w:r>
        <w:t>4.5Â Â Â Â  In seiner Stellungnahme vom 19. Dezember 2005 (Urk. 7/24; vgl. auch Urk. 7/23) gab der beratende Zahnarzt Dr. B.___ an, die Feststellung des Schweregrades der Atrophie finde anhand des RÃ¶ntgenbildes statt (Urk. 7/24 S. 1). Auf dem Orthopantomogramm vom 21. September 2004 sei der Oberkiefer in seiner Gesamtheit dargestellt. Rechts seien vier ZÃ¤hne, links ein Eckzahn sowie zwei frische Extraktionsalveolen im Seitenzahngebiet erkennbar. Im unbezahnten wie im bezahnten oder prothetisch versorgten Bereich sei ein gleichmÃ¤ssiger horizontaler Knochenschwund zu sehen, welcher aber durchaus dem Alter der BeschwerdefÃ¼hrerin entspreche und insbesondere bei der BrÃ¼ckenversorgung und im unbezahnten Bereich das ursprÃ¼ngliche Niveau durchaus gehalten habe. Dazwischen fÃ¤nden sich vereinzelte vertikale EinbrÃ¼che. Von einer schweren Atrophie des Alveolarfortsatzes, des zahntragenden Anteils des Kieferknochens, kÃ¶nne angesichts des Umstandes, dass der Knochen ja noch ZÃ¤hne trage, nicht ausgegangen werden (Urk. 7/24 S. 1). Der histologische Befund, welcher vitales Knochengewebe beschreibe, zeige nicht das Bild, das auf eine schwere, nicht vermeidbare Erkrankung des Kausystems hinweise. Dies gelte auch bezÃ¼glich der Probe aus dem transplantierten Beckenkamm. Weder radiologisch noch histologisch kÃ¶nne die Diagnose einer schweren, osteoporosebedingten Atrophie des Oberkiefers belegt werden (Urk. 7/24 S. 2).</w:t>
      </w:r>
    </w:p>
    <w:p>
      <w:r>
        <w:t>4.6Â Â Â Â  Der behandelnde Arzt und Zahnarzt Dr. Dr. A.___ hielt am 28. Januar 2006 zu den AusfÃ¼hrungen von Dr. B.___ fest, er kÃ¶nne die Stellungnahme von Dr. B.___ inhaltlich nicht kritisieren. Alle Kommentare betreffend die RÃ¶ntgenunterlagen mÃ¼ssten als korrekt beurteilt werden, aber die Betrachtung der RÃ¶ntgenbilder sei zwangslÃ¤ufig eine lediglich zweidimensionale: Auf keinem der durchgefÃ¼hrten Bilder kÃ¶nne die Breite des betroffenen Knochenareals beurteilt werden, d.h. ein Knochenkamm kÃ¶nne sehr wohl annÃ¤hernd normale HÃ¶he aufweisen, jedoch extrem schmal sein und dann eine prothetische Versorgung oder eine mittels Implantaten sehr erschweren bis verunmÃ¶glichen. Zudem gehe der Bericht nicht auf das medizinische Problem der BeschwerdefÃ¼hrerin ein (Urk. 7/27).</w:t>
      </w:r>
    </w:p>
    <w:p>
      <w:r>
        <w:t>4.7Â Â Â Â  Dr. B.___ fÃ¼hrte am 15. Februar 2006 dazu aus, es treffe zu, dass im Orthopantomogramm die Breite des Alveolarknochens im Gegensatz zu dessen HÃ¶he nicht beurteilt werden kÃ¶nne. Reine Spekulation sei es hingegen, in dieser Dimension einen massiven Knochenverlust anzunehmen und daraus eine schwere Osteoporose abzuleiten (Urk. 7/29). Eine rÃ¤umliche Beurteilung des Knochens wÃ¤re nur anhand einer klinischen Inspektion (anlÃ¤sslich eines chirurgischen Eingriffes) oder mittels geeigneter bildlicher Darstellung (Tomogramm etc.) mÃ¶glich. Entweder sei im Rahmen der Implantatversorgung im Mai 2005 das Anfertigen von zusÃ¤tzlichen Unterlagen (Tomogrammen, CT's) aufgrund der Gesamtbeurteilung als Ã¼berflÃ¼ssig verworfen worden, oder es kÃ¶nne anhand solcher Unterlagen belegt werden, dass auch in der dritten Dimension genÃ¼gend Knochen vorhanden gewesen sei. Es sei zudem Ã¼blich, Knochenaugmentationen intra operationem fotographisch zu dokumentieren. Derlei Bildmaterial wÃ¤re geeignet, die vorliegende Frage zusÃ¤tzlich zu erhellen (Urk. 7/29). Falls im linken seitlichen Oberkiefer beim zahnlosen Knochen auch ein transversaler Knochenschwund stattgefunden haben sollte, sei dies, isoliert betrachtet, immer noch kein Indiz fÃ¼r eine Osteoporose. Erst im Verband mit einem eindeutigen histologischen Befund kÃ¶nnte eine stringente Diagnose gestellt werden. Dazu reiche das Ergebnis der histologischen Untersuchung von Prof. D.___ bei weitem nicht aus (Urk. 7/29 S. 2).</w:t>
      </w:r>
    </w:p>
    <w:p>
      <w:r>
        <w:t>4.8Â Â Â Â  GemÃ¤ss dem RÃ¶ntgenbericht des C.___ vom 28. Juni 2006 ergab die durchgefÃ¼hrte Osteodensitometrie eine Standardabweichung gegenÃ¼ber dem alters- und geschlechtsnormierten Durchschnitt (Z-Score) von 1,85 und eine Standardabweichung gegenÃ¼ber dem geschlechtsnormierten Durchschnitt von 30-jÃ¤hrigen von -1,35. Dies entspreche nach WHO-Gradient einer altersentsprechenden Osteopenie. Im zeitlichen Verlauf lasse sich sagen, dass die Versicherte einen normalen Mineralsalzgehaltverlust aufweise (Urk. 7/35).</w:t>
      </w:r>
    </w:p>
    <w:p>
      <w:r>
        <w:rPr>
          <w:b/>
        </w:rPr>
        <w:t>E. 5</w:t>
      </w:r>
    </w:p>
    <w:p>
      <w:r>
        <w:t>5.1Â Â Â Â</w:t>
      </w:r>
    </w:p>
    <w:p>
      <w:r>
        <w:t>5.1.1Â Â  Die Beschwerdegegnerin prÃ¼fte letztlich einzig, ob die streitige Behandlung als zahnÃ¤rztliche Behandlung zu Ã¼bernehmen ist. Eine leistungspflichtige zahnÃ¤rztliche Behandlung liegt vorliegend dann vor, wenn die Behandlung durch eine Osteopathie der Kiefer bedingt ist (vgl. Art. 17 Abs. 1 lit. c Ziffer 3 KLV). Dabei ist insbesondere zu prÃ¼fen, ob bei der Versicherten eine pathologische Atrophie von Ober- und Unterkiefer oder ob eine Osteoporose der Kiefer bestanden hat (vgl. Erw. 2.4).</w:t>
      </w:r>
    </w:p>
    <w:p>
      <w:r>
        <w:t>5.1.2Â Â  Wie sich der letzten Stellungnahme von Zahnarzt Dr. B.___ vom 15. Februar 2006 entnehmen lÃ¤sst, lÃ¤sst sich das Ausmass der bestandenen Atrophie des Alveolarknochens in der Breite und dies insbesondere im linken seitlichen Oberkiefer, wo lediglich noch ein Zahn vorhanden war, aufgrund der ihm zur Beurteilung vorgelegenen RÃ¶ntgenbilder nicht abschliessend bestimmen. DiesbezÃ¼glich wÃ¤re seiner Ansicht nach weiteres, wÃ¤hrend den Operationen erstelltes Bildmaterial geeignet, die Frage zusÃ¤tzlich zu erhellen (Urk. 7/29 S. 1 und 2). In Betrachtung der vor den operativen Eingriffen erstellten zweidimensionalen RÃ¶ntgenaufnahmen schlossen weder Dr. Dr. A.___ noch die VertrauenszahnÃ¤rzte Dres. E.___ und B.___ auf eine schwere, pathologische Athrophie im Sinne der Cawood-Klassierung VI (Urk. 7/6, 7/17, 7/24, 7/29). Dr. Dr. A.___ fÃ¼hrte zudem nach dem operativen Eingriff nicht ausdrÃ¼cklich an, anlÃ¤sslich der klinischen Inspektion im Rahmen der operativen Eingriffe habe sich ein deutlich erheblicherer Schweregrad als der von ihm im Bericht vom 24. Februar 2005 festgehaltene Cawood-Klassierung III-V gezeigt (vgl. Urk. 7/10, 7/14, 7/27, 7/29 S. 1). Damit ist nicht von einer extremen Atrophie auszugehen, welche eine Leistungspflicht der Beschwerdegegnerin auslÃ¶sen kÃ¶nnte.</w:t>
      </w:r>
    </w:p>
    <w:p>
      <w:r>
        <w:t>Â Â Â Â Â Â Â Â  Die Schwere und die Art der Atrophie kÃ¶nnen aber zumindest Indiz dafÃ¼r sein, dass sie durch eine Knochenerkrankung oder durch den Verlust der Zahnfunktion ausgelÃ¶st wurde. So schloss etwa Dr. E.___ im Frontzahnbereich aufgrund des sich aus dem RÃ¶ntgenbild ergebenden ausgeheilten atrophierten Knochens auf eine Verursachung durch den Verlust der Knochenfunktion (Urk. 7/17; vgl. demgegenÃ¼ber Dr. B.___, Urk. 7/29 S. 2; Urteil des EidgenÃ¶ssischen Versicherungsgerichtes in Sachen K. vom 9. Juni 2004, K 93/03, Erw. 4.3). Schwere und Art der Atrophie kÃ¶nnen indes nur mit dem Beizug weiterer Unterlagen abschliessend bestimmt werden (vgl. Urk. 7/29).</w:t>
      </w:r>
    </w:p>
    <w:p>
      <w:r>
        <w:t>5.1.3Â Â  Zu prÃ¼fen ist, ob die Versicherte an einer (anderen) Knochenerkrankung als einer pathologischen Atrophie leidet.</w:t>
      </w:r>
    </w:p>
    <w:p>
      <w:r>
        <w:t>Â Â Â Â Â Â Â Â  Der von der Beschwerdegegnerin mit der Beschwerdeantwort eingereichte Bericht Ã¼ber die Osteodensitometrie der LendenwirbelkÃ¶rper 3, 4 und 5 vom 28. Juni 2005 ergab das Vorliegen einer altersentsprechenden Osteopenie. Es lasse sich in der jetzigen Kurve sagen, dass die Versicherte einen normalen Mineralsalzgehaltverlust aufweise. Weitere Kontrolluntersuchungen seien nicht erforderlich (Urk. 7/35; vgl. auch Urk. 14 S. 2 f. und 18/1). Diese Untersuchung belegt damit zumindest keine pathologische Skelettrarifizierung, die stÃ¤rker ist, als es der Altersnorm entspricht (vgl. KVG-Atlas, S. 41). DemgegenÃ¼ber hatte die histologische Untersuchung des Oberkieferknochens einen verstÃ¤rkten Umbau mit Fibrose gezeigt und im Beckenkamm rechts war eine diskrete Osteoporose festgestellt worden (vgl. Urk. 7/10). Dr. Dr. A.___ berichtete von einer intraoperativ vorgefundenen KnochenqualitÃ¤t, die durchaus nicht der Norm entsprochen habe (Urk. 7/10).</w:t>
      </w:r>
    </w:p>
    <w:p>
      <w:r>
        <w:t>Â Â Â Â Â Â Â Â  Zahnarzt Dr. B.___ geht in seinen Beurteilungen davon aus, dass die Ergebnisse der nach seiner Ansicht letztlich ausschlaggebenden histologischen Untersuchung keine (schwere) Erkrankung des Knochens im Sinne von Art. 17 KLV belegten (Urk. 7/24 und 7/29). Wie genau der histologische Befund auszusehen hÃ¤tte, damit eine Osteopathie des Knochens als ausgewiesen zu betrachten wÃ¤re, erlÃ¤uterte er nicht nÃ¤her. Seine BegrÃ¼ndung in den erstellten Berichten ist nicht ausreichend nachvollziehbar um dem Gericht eine abschliessende Beurteilung zu erlauben. Aus diesem Grund und zur Beurteilung des mittlerweile vorliegenden weiteren Untersuchungsergebnisses der Osteodensitometrie bedarf es einer ergÃ¤nzenden fachÃ¤rztlichen Beurteilung (rheumatologisch oder internistisch), welche Ã¼ber das Vorliegen einer Erkrankung der Knochen im Kieferbereich Aufschluss zu geben hat (vgl. Urteil des EidgenÃ¶ssischen Versicherungsgerichtes in Sachen K. vom 9. Juni 2004, K 93/03, Erw. 4.3). HierfÃ¼r kann unter UmstÃ¤nden auch der Beizug oder das Anfertigen weiteren Bildmaterials erforderlich sein, welches - entgegen der EinschÃ¤tzung von Dr. B.___ - ebenfalls Hinweise auf das Vorliegen oder Nichtvorliegen einer Osteopathie geben kann (vgl. Erw. 5.1.2 und nachfolgend Erw. 5.4).</w:t>
      </w:r>
    </w:p>
    <w:p>
      <w:r>
        <w:t>Â Â Â Â Â Â Â Â  Ob die Versicherte an einer Osteopathie im Kieferbereich leidet ist somit unklar. Sollte dies bejaht werden, so mÃ¼sste im Anschluss festgestellt werden, ob die Atrophie im Kieferbereich Folge dieser Erkrankung ist (vgl. dazu Urteil des Sozialversicherungsgerichts des Kantons ZÃ¼rich in Sachen F. vom 26. August 2004, KV.2003.00048). Es mÃ¼ssen deshalb Unterlagen beigezogen sowie eine fachÃ¤rztliche als auch eine ergÃ¤nzende zahnÃ¤rztliche Beurteilung eingeholt werden.</w:t>
      </w:r>
    </w:p>
    <w:p>
      <w:r>
        <w:t>5.2Â Â Â Â</w:t>
      </w:r>
    </w:p>
    <w:p>
      <w:r>
        <w:t>5.2.1Â Â  Zu prÃ¼fen ist indes vordem, ob die durchgefÃ¼hrten Behandlungen Ã¼berhaupt als zahnÃ¤rztliche Behandlungen zu qualifizieren sind, oder ob sie Ã¤rztliche Behandlungen im Sinne von Art. 25 KVG und als solche von der Krankenkasse zu Ã¼bernehmen sind (vgl. BGE 128 V 146 Erw. 5).</w:t>
      </w:r>
    </w:p>
    <w:p>
      <w:r>
        <w:t>Â Â Â Â Â Â Â Â  Die im Vordergrund stehenden Kriterien fÃ¼r die Abgrenzung zwischen Ã¤rztlicher und zahnÃ¤rztlicher Behandlung sind der Ansatzpunkt und die therapeutische Zielsetzung der Behandlung.</w:t>
      </w:r>
    </w:p>
    <w:p>
      <w:r>
        <w:t>Â Â Â Â Â Â Â Â  Stellt man zunÃ¤chst auf den Ansatzpunkt ab, sind zahnÃ¤rztliche Behandlungen - wie bereits gemÃ¤ss konstanter Rechtsprechung zum bis zum 31. Dezember 1995 in Kraft gestandenen Bundesgesetz Ã¼ber die Krankenversicherung (KUVG) - grundsÃ¤tzlich therapeutische Vorkehren am Kausystem. Darunter fallen die Behandlung der ZÃ¤hne, des Zahnhalteapparates sowie die Behandlung an den Organbereichen, die ein kÃ¼nstliches Gebiss aufzunehmen haben (vgl. BGE 128 V 145 Erw. 4b/aa mit Hinweis).</w:t>
      </w:r>
    </w:p>
    <w:p>
      <w:r>
        <w:t>Â Â Â Â Â Â Â Â  Als weiteres entscheidendes Kriterium dient die therapeutische Zielsetzung, die sich danach bestimmt, welcher KÃ¶rperteil oder welche Funktion unmittelbar therapiert oder verbessert werden soll (BGE 128 V 145 Erw. 4b/bb).</w:t>
      </w:r>
    </w:p>
    <w:p>
      <w:r>
        <w:t>Â Â Â Â Â Â Â Â  Das EidgenÃ¶ssische Versicherungsgericht nennt zur Veranschaulichung einige Beispiele: WÃ¤hrend etwa bei der Ãberkronung eines schadhaften Zahnes Ansatzpunkt und therapeutische Zielsetzung den gleichen Zahn betreffen, kÃ¶nnten sie auch verschiedene Bereiche erfassen. Eine Aufbissschiene beispielsweise, die nicht zur Verbesserung der Funktion der ZÃ¤hne bei der Zerkleinerung der Nahrung, sondern zur Entlastung arthrotischer Kiefergelenke angebracht werde, setze zwar am Zahnapparat an, bezwecke aber die Therapierung der Kieferarthrose. In solchen FÃ¤llen werde im Allgemeinen der therapeutischen Zielsetzung das grÃ¶ssere Gewicht beizumessen sein, was bedeute, dass das Anbringen einer solchen Aufbissschiene als Ã¤rztliche Massnahme anzusehen sei. Umgekehrt liege eine zahnÃ¤rztliche Behandlung vor, wenn sie die ZÃ¤hne als solche oder ihre vordringliche Funktion zur Zerkleinerung der Nahrung (Verbesserung der BissverhÃ¤ltnisse) betreffe. Daran Ã¤ndere auch nichts, wenn der Ansatzpunkt der Behandlung im Kieferbereich ausserhalb des Zahnapparates und des Parodonts liege. Die therapeutische Zielsetzung, die auf eine Verbesserung dieser Funktion gerichtet sei, gebe den Ausschlag und mache die Behandlung zu einer zahnÃ¤rztlichen (BGE 128 V 146 Erw. 4b/cc).</w:t>
      </w:r>
    </w:p>
    <w:p>
      <w:r>
        <w:t>5.2.2Â Â  Beim Wiederaufbau der atrophierten Kieferareale durch autologe Knochentransplantate und anschliessender prothetischer Rekonstruktion Ã¼ber zahnÃ¤rztliche Implantate handelt es sich um therapeutische Vorkehren am Kausystem (vgl. auch Urteil des EidgenÃ¶ssischen Versicherungsgerichtes in Sachen G. vom 21. November 2001, K 113/99).</w:t>
      </w:r>
    </w:p>
    <w:p>
      <w:r>
        <w:t>Â Â Â Â Â Â Â Â  Die BeschwerdefÃ¼hrerin lÃ¤sst geltend machen, neben der zahnÃ¤rztlichen Zielsetzung habe auch eine Ã¤rztliche Zielsetzung, nÃ¤mlich weitere Magenprobleme zu vermeiden beziehungsweise diese mittel- bis langfristig zu beseitigen, bestanden (Urk. 1 S. 6). Entscheidend dafÃ¼r, ob von zahnÃ¤rztlicher oder Ã¤rztlicher Zielsetzung auszugehen ist, ist, welcher KÃ¶rperteil oder welche Funktion unmittelbar therapiert oder verbessert werden soll. Wie sich den Angaben von Dr. Dr. A.___ vom 10. Februar 2005 entnehmen lÃ¤sst, konnte die BeschwerdefÃ¼hrerin vor dem Eingriff nur noch weichste Kost essen (vgl. Urk. 7/1). Unmittelbare Zielsetzung des Eingriffes war damit, die Kaufunktion zu verbessern beziehungsweise wiederherzustellen. Dass mit der Behandlung beziehungsweise der Behandlungsart - dem Knochenaufbau mit anschliessender Einsetzung von Implantaten anstelle einer totalprothetischen Versorgung - auch weiteren Magenproblemen vorgebeugt werden konnte, war, dies ist dem Bericht von Dr. Dr. A.___ vom 28. Juli 2005 zu entnehmen, lediglich mittelbare Auswirkung des Eingriffes (vgl. Urk. 7/14). Es ist deshalb aufgrund der Akten von einer zahnÃ¤rztlichen Behandlung auszugehen (vgl. auch Urteile des EidgenÃ¶ssischen Versicherungsgerichtes in Sachen C. und T. vom 26. Mai 2003, K 111/02, Erw. 3, in Sachen K. vom 26. August 2003, K 134/02, Erw. 4, in Sachen R. und D. vom 16. April 2003, K 129/02, Erw. 3.1 und in Sachen G. vom 21. November 2001, K 113/99).</w:t>
      </w:r>
    </w:p>
    <w:p>
      <w:r>
        <w:t>5.3Â Â Â Â  Da konkrete Hinweise auf ein Zahnleiden im Rechtssinne bestehen, trifft die Beschwerdegegnerin und das Sozialversicherungsgericht eine AbklÃ¤rungspflicht (vgl. Urteil des EidgenÃ¶ssischen Versicherungsgerichtes in Sachen K. vom 11. Juli 2006, Erw. 3.2; vgl. Urk. 6 S. 2 f.).</w:t>
      </w:r>
    </w:p>
    <w:p>
      <w:r>
        <w:t>Â Â Â Â 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vgl. SVR 1995 ALV Nr. 27 S. 69). Da die Sache nur ungenÃ¼gend abgeklÃ¤rt worden ist und sie nicht ohne Weiterungen erledigt werden kann, ist sie an die Vorinstanz zurÃ¼ckzuweisen. Es ist im Weiteren nicht davon auszugehen, dass nur ein Gerichtsgutachten zur KlÃ¤rung des Sachverhaltes beizutragen vermÃ¶chte (vgl. BGE 122 V 163 Erw. 1d; Urk. 17 S. 3).</w:t>
      </w:r>
    </w:p>
    <w:p>
      <w:r>
        <w:t>5.4Â Â Â Â  Vor Einholung der zusÃ¤tzlichen Facharzt- und Zahnarztberichte (vgl. Erw. 5.1.3) wird die Beschwerdegegnerin bei den behandelnden ZahnÃ¤rzten und Ãrzten die fÃ¼r die vorliegende Streitsache massgebliche Krankengeschichte der Versicherten beizuziehen haben. Von zahnÃ¤rztlicher Seite interessiert dabei insbesondere, wie viele Jahre der Zahnverlust zurÃ¼ckliegt und ob frÃ¼here RÃ¶ntgenbilder noch zur VerfÃ¼gung stehen, welche diesfalls beizuziehen wÃ¤ren (vgl. Urk. 7/6). Von Ã¤rztlicher Seite sind diejenigen Informationen zu erfragen, die im Zusammenhang mit der mÃ¶glichen Osteoporoseerkrankung beziehungsweise der diagnostizierten Osteoponie stehen (vgl. Urk. 7/35). Bei dieser Gelegenheit kann ebenfalls noch ergÃ¤nzend festgestellt werden, welcher Art die geltend gemachten Magen- und Darmprobleme der Versicherten sind und ob und wie diese im Zusammenhang mit den Zahnproblemen stehen. Von den durchgefÃ¼hrten kieferchirurgischen und zahnÃ¤rztlichen Eingriffen ist vorhandenes Bildmaterial beizuziehen. Die BeschwerdefÃ¼hrerin lÃ¤sst zwar geltend machen, diesbezÃ¼glich seien keine Bildunterlagen vorhanden, und auch die Beschwerdegegnerin geht vom Fehlen solcher Unterlagen aus (vgl. Urk. 1 S. 5 und 6 S. 2 f.). Selbst wenn dies der Fall wÃ¤re, mÃ¼ssten zumindest Operationsberichte vorhanden sein, welche beigezogen werden kÃ¶nnten. Danach ist eine ergÃ¤nzende fachÃ¤rztliche (rheumatologische oder internistische) und eine zahnÃ¤rztliche Beurteilung vorzunehmen, welche gegebenenfalls auch eine Untersuchung der Versicherten beziehungsweise, sofern notwendig, weitere und nach den erfolgten medizinischen Eingriffen Ã¼berhaupt noch durchfÃ¼hrbare (rÃ¶ntgenologische) UntersuchungsabklÃ¤rungen einzuschliessen hat. Gegebenenfalls ist auch zur Wirksamkeit, Wirtschaftlichkeit und ZweckmÃ¤ssigkeit der gewÃ¤hlten Behandlung Stellung zu nehmen.</w:t>
      </w:r>
    </w:p>
    <w:p>
      <w:r>
        <w:t>Â Â Â Â Â Â Â Â  Die Beschwerde ist damit in diesem Sinne gutzuheissen.</w:t>
      </w:r>
    </w:p>
    <w:p>
      <w:r>
        <w:rPr>
          <w:b/>
        </w:rPr>
        <w:t>E. 6</w:t>
      </w:r>
    </w:p>
    <w:p>
      <w:r>
        <w:t>Â 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die vertretene BeschwerdefÃ¼hrerin Anspruch auf eine ProzessentschÃ¤digung hat.</w:t>
      </w:r>
    </w:p>
    <w:p>
      <w:r>
        <w:t>Â Â Â Â Â Â Â Â  Die ProzessentschÃ¤digung ist auf Fr. 2'400.-- (inkl. Barauslagen und Mehrwertsteuer) festzusetzen.</w:t>
      </w:r>
    </w:p>
    <w:p>
      <w:r>
        <w:t>Das Gericht erkennt:</w:t>
      </w:r>
    </w:p>
    <w:p>
      <w:r>
        <w:t>1.Â Â Â Â Â Â Â Â  Die Beschwerde wird in dem Sinne gutgeheissen, dass der angefochtene Einspracheentscheid vom 28. Februar 2006 aufgehoben und die Sache an die Wincare Versicherungen zurÃ¼ckgewiesen wird, damit diese, nach erfolgter AbklÃ¤rung im Sinne der ErwÃ¤gungen, Ã¼ber ihre Leistungspflicht neu verfÃ¼ge.</w:t>
      </w:r>
    </w:p>
    <w:p>
      <w:r>
        <w:t>2.Â Â Â Â Â Â Â Â  Das Verfahren ist kostenlos.</w:t>
      </w:r>
    </w:p>
    <w:p>
      <w:r>
        <w:t>3.Â Â Â Â Â Â Â Â  Die Beschwerdegegnerin wird verpflichtet, der BeschwerdefÃ¼hrerin eine ProzessentschÃ¤digung von Fr. 2'400.-- (inkl. Barauslagen und MWSt) zu bezahlen.</w:t>
      </w:r>
    </w:p>
    <w:p>
      <w:r>
        <w:t>4.Â Â Â Â Â Â Â Â Â Â  Zustellung gegen Empfangsschein an:</w:t>
      </w:r>
    </w:p>
    <w:p>
      <w:r>
        <w:t>- Wincare Versicherungen</w:t>
      </w:r>
    </w:p>
    <w:p>
      <w:r>
        <w:t>- Rechtsanwalt Arthur Schilter</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