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KV.2005.00071 vom 28. Februar 2007</w:t>
      </w:r>
    </w:p>
    <w:p>
      <w:r>
        <w:t>ZH Sozialversicherungsgericht, 2007-02-28, DE</w:t>
      </w:r>
    </w:p>
    <w:p>
      <w:r>
        <w:rPr>
          <w:b/>
        </w:rPr>
        <w:t xml:space="preserve">Quelle: </w:t>
      </w:r>
      <w:r>
        <w:t>https://mcp.opencaselaw.ch/entscheid/zh_sozialversicherungsgericht_KV.2005.00071</w:t>
      </w:r>
    </w:p>
    <w:p>
      <w:r>
        <w:t>FR: ZH_SOZIALVERSICHERUNGSGERICHT KV.2005.00071 du 28 février 2007</w:t>
      </w:r>
    </w:p>
    <w:p>
      <w:r>
        <w:t>IT: ZH_SOZIALVERSICHERUNGSGERICHT KV.2005.00071 del 28 febbraio 2007</w:t>
      </w:r>
    </w:p>
    <w:p>
      <w:pPr>
        <w:pStyle w:val="Heading2"/>
      </w:pPr>
      <w:r>
        <w:t>Erwägungen</w:t>
      </w:r>
    </w:p>
    <w:p>
      <w:r>
        <w:rPr>
          <w:b/>
        </w:rPr>
        <w:t>E. 3</w:t>
      </w:r>
    </w:p>
    <w:p>
      <w:r>
        <w:t>3.1Â Â Â Â  Das Pflegeheim stellte die Leistungen fÃ¼r den Aufenthalt des Versicherten mit Wirkung ab 1. Januar 2005 wie folgt in Rechnung (Urk. 7/3 und 7/6 [Beilage]): Fr. 120.-- Grundtaxe Kost und Logis, Fr. 33.-- Betreuungskosten, Fr. 159.-- Pflegekosten gemÃ¤ss RAI Stufe CCL, insgesamt Fr. 312.--. Davon brachte es den Krankenkassenbeitrag fÃ¼r Pflegekosten von Fr. 66.80 (bis Ende 2004; ab 1. 1. 2005: Fr. 72.80 [vgl. Urk. 2 S. 2, und 6 S. 6]) in Abzug, welchen es der Beschwerdegegnerin direkt in Rechnung stellte (Urk. 7/5). Es resultierten zu Lasten des Versicherten somit noch Kosten von Fr. 245.20 pro Tag. Der Kostenanteil der Krankenkasse erhÃ¶hte sich ab dem Jahr 2005 auf Fr. 72.80 pro Tag (Urk. 6 S. 6).</w:t>
      </w:r>
    </w:p>
    <w:p>
      <w:r>
        <w:t>3.2Â Â Â Â  Grundlage der Abrechnung zwischen Leistungserbringer und Krankenversicherer bildet der Vertrag Ã¼ber die Verrechnung von Pflichtleistungen gemÃ¤ss KVG nach dem RAI/RUG-System vom 1. Januar 2003 (Vertrag RAI/RUG; Urk. 16). Diesem sind sowohl das Pflegeheim als auch die Beschwerdegegnerin beigetreten (vgl. Urk. 16 Anhang 1a und 1b). Die Abrechnung erfolgt nach dem System des Tiers payant (Urk. 16 Anhang 1a). Das Heim figuriert sodann auch auf der Liste der ZÃ¼rcher Pflegeheime. FÃ¼r die auf der Basis des Systems RAI/RUG abrechnenden Heime gelangen die Pflegepauschalen und Vollpauschalen gemÃ¤ss den AnhÃ¤ngen 2a und 2b des Vertrags RAI/RUG vom 1. Januar 2003, gÃ¼ltig per 1. Januar 2005, zur Anwendung (Urk. 16). Â</w:t>
      </w:r>
    </w:p>
    <w:p>
      <w:r>
        <w:t>Â Â Â Â Â Â Â Â  Der verstorbene F.___ war unbestrittenermassen in der Pflegestufe CCL (klinisch komplex mit geringem Pflegebedarf; Urk. 7/4) eingeteilt. Die Pflegepauschale betrug fÃ¼r diese Pflegestufe Fr. 159.-- (Urk. 3/3, 7/3 und 7/4) und beinhaltete gemÃ¤ss der Leistungs- und Taxordnung des Heims Pflegedienstleistungen im Umfang gemÃ¤ss Pflegediagnostik- sowie Bewohnereinstufungsbeurteilungen nach dem RAI/RUG-System (vgl. Urk. 3/3 S. 2 Ziff. 6.3). Zu den Pflegemassnahmen, die auf Ã¤rztliche Anordnung von der Krankenversicherung zu Ã¼bernehmen sind und welche im Rahmen der Leistungserfassungssysteme BESA oder RAI/RUG abgedeckt werden, gehÃ¶ren neben den Massnahmen der AbklÃ¤rung und Beratung sowie der Untersuchung und der Behandlung auch folgende Massnahmen der Grundpflege: allgemeine Grundpflege bei Patienten und Patientinnen, welche die TÃ¤tigkeit nicht selber ausfÃ¼hren kÃ¶nnen, wie Beine einbinden, KompressionsstrÃ¼mpfe anlegen; Betten, Lagern; BewegungsÃ¼bungen, Mobilisieren; Dekubitusprophylaxe, Massnahmen zur VerhÃ¼tung oder Behebung von behandlungsbedingten SchÃ¤digungen der Haut; Hilfe bei der Mund- und KÃ¶rperpflege, beim An- und Auskleiden, beim Essen und Trinken sowie die psychiatrische oder psychogeriatrische Grundpflege (vgl. die Antwort des Regierungsrates des Kantons ZÃ¼rich vom 11. Mai 2005 auf eine Anfrage von Kantonsrat SchÃ¼rch; KR-Nr. 54/2005). GemÃ¤ss Anhang 2a des Vertrags (Urk. 16) Ã¼bernehmen die Krankenversicherer hierfÃ¼r ab dem Jahr 2005 einen Kostenbeitrag in der HÃ¶he von Fr. 72.80 pro Tag. Eine Leistungspflicht in diesem Umfang stellt die Beschwerdegegnerin nicht in Abrede. Nicht zu den von der Krankenversicherung zu vergÃ¼tenden Kosten gehÃ¶ren selbstverstÃ¤ndlich die Kosten fÃ¼r Unterkunft und Verpflegung, aber auch die im Einzelfall in unterschiedlichem Ausmass anfallenden Hauswirtschaftskosten fÃ¼r Betreuung oder UnterstÃ¼tzung, Alltagsgestaltung, Erledigung von persÃ¶nlichen Angelegenheiten und dergleichen.</w:t>
      </w:r>
    </w:p>
    <w:p>
      <w:r>
        <w:t>3.3Â Â Â Â  GrundsÃ¤tzlich mÃ¼ssen sich Leistungserbringer an die vertraglich oder behÃ¶rdlich festgelegten Tarife und Preise halten und dÃ¼rfen fÃ¼r Leistungen nach dem Krankenversicherungsgesetz keine weiter gehenden VergÃ¼tungen berechnen (sogenannter Tarifschutz, Art. 44 Abs. 1 KVG; vgl. Urteil des EidgenÃ¶ssischen Versicherungsgerichts vom 6. Juni 2005 in Sachen H., K 57/01, Erw. 7). Die Beschwerdegegnerin hatte damit keinen hÃ¶heren Beitrag zu leisten als denjenigen, den sie gemÃ¤ss dem gÃ¼ltigen und anwendbaren Tarifvertrag (im System des Tiers payant) direkt an das Pflegeheim bezahlt hat: Sie hat mit einem Kostenanteil von Fr. 66.80 pro Tag bis Ende 2004 und Fr. 72.80 ab 2005 den von ihr geschuldeten Beitrag geleistet. Versicherer und Leistungserbringer haben gegenseitig ihre im System des Tiers payant eingegangenen Verpflichtungen erfÃ¼llt. Auch wenn das Pflegeheim dem Versicherten mit zusÃ¤tzlicher Rechnung Ã¼berhaupt zu Unrecht oder aber zumindest zu hohe Kosten belastet haben sollte, was der Versicherte geltend machen lÃ¤sst, war die Beschwerdegegnerin gegenÃ¼ber dem Pflegeheim nur im Rahmen der bereits ausgerichteten VergÃ¼tungen kostenpflichtig. Die Beschwerde ist demnach insoweit unbegrÃ¼ndet und abzuweisen.</w:t>
      </w:r>
    </w:p>
    <w:p>
      <w:r>
        <w:t>Â Â Â Â Â Â Â Â  Zu prÃ¼fen bliebe das RechtsverhÃ¤ltnis zwischen Pflegeheim und Versichertem. Dies stellt aber keine Streitigkeit zwischen Versicherer und Leistungserbringer dar, die im Sinne von Art. 89 Abs. 1 KVG in die ZustÃ¤ndigkeit des kantonalen Schiedsgerichtes fallen kÃ¶nnte. Fraglich ist vielmehr, ob das Heim zu Recht dem Versicherten Ã¼ber den Betrag hinaus direkt Rechnung gestellt hat, den es von der Krankenkasse erhalten hatte. Dies kann aber weder im vorliegenden Verfahren, noch vor dem Schiedsgericht beurteilt werden. Eine Klageerhebung beim Schiedsgericht durch die Krankenkasse anstelle der versicherten Person nach Art. 89 Abs. 3 KVG ist ebenfalls nicht mÃ¶glich, da die VergÃ¼tung durch die Beschwerdegegnerin nicht im Tiers garant erfolgt ist. Liegen somit der effektiv bestehenden Problematik nicht die Rechtsbeziehungen zwischen Krankenkasse und Versichertem bzw. Versicherer und Leistungserbringer gemÃ¤ss Art. 89 Abs. 1 KVG zugrunde, sondern diejenigen zwischen dem Leistungserbringer und dem Versicherten, so ist die Streitigkeit zusammenfassend nicht nach sozialversicherungsrechtlichen Kriterien zu beurteilen, mit der Folge, dass diesbezÃ¼glich weder das Sozialversicherungsgericht noch die Schiedsgerichte, sondern allenfalls die Zivilgerichte zum Entscheid sachlich zustÃ¤ndig sind (zum Ganzen: BGE 131 V 191 mit Hinweisen).</w:t>
      </w:r>
    </w:p>
    <w:p>
      <w:r>
        <w:t>4.Â Â Â Â Â Â</w:t>
      </w:r>
    </w:p>
    <w:p>
      <w:r>
        <w:t>4.1Â Â Â Â  Im Weiteren ist zu prÃ¼fen, ob dem Gesuch um unentgeltliche VerbeistÃ¤ndung fÃ¼r das Einspracheverfahren sowie fÃ¼r das Beschwerdeverfahren entsprochen werden kann.</w:t>
      </w:r>
    </w:p>
    <w:p>
      <w:r>
        <w:t>Â Â Â Â Â Â Â Â  Die Beschwerdegegnerin hat das Gesuch abgewiesen, da sich die Einsprache als aussichtslos erweise (Urk. 2 S. 3).</w:t>
      </w:r>
    </w:p>
    <w:p>
      <w:r>
        <w:t>4.2Â Â Â Â  Im Verwaltungsverfahren kann sich eine Partei, wenn sie nicht persÃ¶nlich zu handeln hat, jederzeit vertreten lassen (Art. 37 Abs. 1 Satz 1 des Bundesgesetzes Ã¼ber den Allgemeinen Teil des Sozialversicherungsrechts, ATSG), und es wird ihr, wo die VerhÃ¤ltnisse es erfordern, ein unentgeltlicher Rechtsbeistand bewilligt (Art. 37 Abs. 4 ATSG). Dabei ist bei der PrÃ¼fung der sachlichen Voraussetzungen (BedÃ¼rftigkeit, fehlende Aussichtslosigkeit, erhebliche Tragweite der Sache, Schwierigkeit der aufgeworfenen Fragen, mangelnde Rechtskenntnisse der versicherten Person) ein strenger Massstab anzulegen. Hohe Anforderungen sind insbesondere an die Notwendigkeit der VerbeistÃ¤ndung zu stellen. Da die erforderlichen Voraussetzungen kumulativ erfÃ¼llt sein mÃ¼ssen, darf das Verfahren - trotz Bejahung von BedÃ¼rftigkeit und Gebotenheit der Vertretung - nicht aussichtslos sein.</w:t>
      </w:r>
    </w:p>
    <w:p>
      <w:r>
        <w:t>Â Â Â Â Â Â Â Â  Als aussichtslos sind nach der bundesgerichtlichen Rechtsprechung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w:t>
      </w:r>
    </w:p>
    <w:p>
      <w:r>
        <w:t>Â Â Â Â Â Â Â Â  Angesichts der klaren Rechtslage erschienen die Gewinnaussichten von Anbeginn als ausgesprochen gering. Das Einsprache- und das Beschwerdeverfahren sind daher als aussichtslos zu bezeichnen, weshalb die Voraussetzungen fÃ¼r die Bewilligung der unentgeltlichen Rechtsvertretung nicht erfÃ¼llt sind.</w:t>
      </w:r>
    </w:p>
    <w:p>
      <w:r>
        <w:t>Das Gericht beschliesst:</w:t>
      </w:r>
    </w:p>
    <w:p>
      <w:r>
        <w:t>Â Â Â Â Â Â Â Â Â Â  Das Gesuch vom 23. Juli 2005 um Bewilligung der unentgeltlichen Rechtsvertretung wird abgewiesen;</w:t>
      </w:r>
    </w:p>
    <w:p>
      <w:r>
        <w:t>und erkennt sodann:</w:t>
      </w:r>
    </w:p>
    <w:p>
      <w:r>
        <w:t>1.Â Â Â Â Â Â Â Â  Die Beschwerde wird abgewiesen.</w:t>
      </w:r>
    </w:p>
    <w:p>
      <w:r>
        <w:t>2.Â Â Â Â Â Â Â Â  Das Verfahren ist kostenlos.</w:t>
      </w:r>
    </w:p>
    <w:p>
      <w:r>
        <w:t>3.Â Â Â Â Â Â Â Â  Zustellung gegen Empfangsschein an:</w:t>
      </w:r>
    </w:p>
    <w:p>
      <w:r>
        <w:t>- RechtsanwÃ¤ltin Maria Londis</w:t>
      </w:r>
    </w:p>
    <w:p>
      <w:r>
        <w:t>- Universa Krankenkasse</w:t>
      </w:r>
    </w:p>
    <w:p>
      <w:r>
        <w:t>- Bundesamt fÃ¼r Gesundheit</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Â  Die Beschwerdeschrift hat die Begehren, deren BegrÃ¼ndung mit Angabe der Â Â Â Â Â Â Â Â Â  Beweismittel und die Unterschrift zu enthalten; der angefochtene Entscheid sowie die Â Â Â  als Beweismittel angerufenen Urkunden sind beizulegen, soweit die Partei sie in Â Â Â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