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KV.2003.00042 vom 29. Juli 2003</w:t>
      </w:r>
    </w:p>
    <w:p>
      <w:r>
        <w:t>ZH Sozialversicherungsgericht, 2003-07-29, DE</w:t>
      </w:r>
    </w:p>
    <w:p>
      <w:r>
        <w:rPr>
          <w:b/>
        </w:rPr>
        <w:t xml:space="preserve">Quelle: </w:t>
      </w:r>
      <w:r>
        <w:t>https://mcp.opencaselaw.ch/entscheid/zh_sozialversicherungsgericht_KV.2003.00042</w:t>
      </w:r>
    </w:p>
    <w:p>
      <w:r>
        <w:t>FR: ZH_SOZIALVERSICHERUNGSGERICHT KV.2003.00042 du 29 juillet 2003</w:t>
      </w:r>
    </w:p>
    <w:p>
      <w:r>
        <w:t>IT: ZH_SOZIALVERSICHERUNGSGERICHT KV.2003.00042 del 29 luglio 2003</w:t>
      </w:r>
    </w:p>
    <w:p>
      <w:pPr>
        <w:pStyle w:val="Heading2"/>
      </w:pPr>
      <w:r>
        <w:t>Erwägungen</w:t>
      </w:r>
    </w:p>
    <w:p>
      <w:r>
        <w:rPr>
          <w:b/>
        </w:rPr>
        <w:t>E. 1.1</w:t>
      </w:r>
    </w:p>
    <w:p>
      <w:r>
        <w:t>Vorweg ist festzuhalten, dass die vom Beschwerdef?hrer nach Abschluss des Schriftenwechsels unaufgefordert eingereichten Stellungnahmen vom 27. Juni 2003 (Urk. 9) und vom 30. Juni 2003 (Urk. 10) rechtssprechungsgem?ss aus dem Recht zu weisen und damit im vorliegenden Verfahren nicht zu ber?cksichtigen? sind (RKUV 1985 Nr. K 646 S. 239 Erw. 3b = ZAK 1986 S. 190 Erw. 3b).</w:t>
      </w:r>
    </w:p>
    <w:p>
      <w:r>
        <w:t>1.2???? In verfahrensrechtlicher Hinsicht liess der Beschwerdef?hrer beanstanden, die Beschwerdegegnerin habe den Erlass der Verf?gung vom 24. M?rz 2003 (Urk. 7/8) absichtlich und mutwillig verz?gert, w?re sie doch verpflichtet gewesen, den Entscheid innert eines Monats nach Erlass des Urteils vom 6. September 2002 zu f?llen (Urk. 1 S. 3). Nachdem der Entscheid nunmehr ergangen ist - und zwar entgegen den Vorbringen des Beschwerdef?hrers innert n?tzlicher Frist - er?brigen sich weitere Ausf?hrungen hierzu.</w:t>
      </w:r>
    </w:p>
    <w:p>
      <w:r>
        <w:rPr>
          <w:b/>
        </w:rPr>
        <w:t>E. 1.3</w:t>
      </w:r>
    </w:p>
    <w:p>
      <w:r>
        <w:t>Am 1. Januar 2003 ist das Bundesgesetz ?ber den Allgemeinen Teil des Sozialversicherungsrechts (ATSG) vom 6. Oktober 2000 in Kraft getreten. Mit ihm sind zahlreiche Bestimmungen im Sozialversicherungsbereich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beziehungsweise des streitigen Einspracheentscheids eingetretenen Sachverhalt abstellt (BGE 121 V 366 Erw. 1b), sind im vorliegenden Fall die neuen Bestimmungen nicht anwendbar.</w:t>
      </w:r>
    </w:p>
    <w:p>
      <w:r>
        <w:t>2.??????</w:t>
      </w:r>
    </w:p>
    <w:p>
      <w:r>
        <w:t>2.1????? Die Leistungen, deren Kosten von der obligatorischen Krankenpflegeversicherung bei Krankheit zu ?bernehmen sind, werden in Art. 25 des Bundesgesetzes ?ber die Krankenversicherung (KVG) in allgemeiner Weise umschrieben. Im Vordergrund stehen die Leistungen der ?rzte und ?rztinnen, dann aber auch der Chiropraktoren und Chiropraktorinnen sowie der Personen, die im Auftrag von ?rzten und ?rztinnen Leistungen erbringen.</w:t>
      </w:r>
    </w:p>
    <w:p>
      <w:r>
        <w:t>????????? Die Leistungen der Zahn?rzte und Zahn?rztinnen sind in der genannten Bestimmung nicht aufgef?hrt. Die Kosten dieser Leistungen sollen im Krankheitsfalle der obligatorischen Krankenpflegeversicherung nur in eingeschr?nktem Masse ?berbunden werden, n?mlich wenn die zahn?rztliche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t>????????? Gest?tzt auf Art. 33 Abs. 2 und 5 KVG in Verbindung mit Art. 33 lit. d der Verordnung ?ber die Krankenversicherung (KVV) hat das Departement in der Krankenpflege-Leistungsverordnung (KLV) zu jedem der erw?hnten Unterabs?tze von Art. 31 Abs. 1 KVG einen eigenen Artikel erlassen. In Art. 17 KLV werden die schweren, nicht vermeidbaren Erkrankungen des Kausystems aufgez?hlt, bei denen daraus resultierende zahn?rztliche Behandlungen von der obligatorischen Krankenpflegeversicherung zu ?bernehmen sind. In Art. 18 KLV werden die schweren Allgemeinerkrankungen und ihre Folgen aufgelistet, die zu zahn?rztlicher Behandlung f?hren und deren Kosten von der obligatorischen Krankenpflegeversicherung zu tragen sind. In Art. 19 KLV schliesslich hat das Departement die schweren Allgemeinerkrankungen aufgez?hlt, bei denen die zahn?rztliche Massnahme notwendiger Bestandteil der Behandlung darstellt.</w:t>
      </w:r>
    </w:p>
    <w:p>
      <w:r>
        <w:t>????????? In BGE 124 V 185 hat das Eidgen?ssische Versicherungsgericht entschieden, dass die in Art. 17-19 KLV erw?hnten Erkrankungen, welche von der obligatorischen Krankenpflegeversicherung zu ?bernehmende zahn?rztliche Behandlungen bedingen, abschliessend aufgez?hlt sind. Daran hat es in st?ndiger Rechtsprechung festgehalten (BGE 127 V 332 Erw. 3 und 343 Erw. 3b).</w:t>
      </w:r>
    </w:p>
    <w:p>
      <w:r>
        <w:t>2.2???? Streitig ist weiterhin, ob die Krankenkasse die Kosten f?r den in der Klinik Bethanien von A.___ durchgef?hrten Knochenaufbau des Oberkiefers von Fr. 32'553.30, f?r die Implantatsetzung bei B.___ von Fr. 28'231.15 und weitere Kosten im Zusammenhang mit einer provisorischen Kunststoffprothese aufgrund einer Behandlung von C.___ von Fr. 1'117.-- im Rahmen der obligatorischen Krankenpflegeversicherung zu ?bernehmen hat. Ausserdem beantragt der Beschwerdef?hrer nunmehr zus?tzlich die ?bernahme von Behand-lungskosten von A.___ im Betrag von Fr. 10'548.75, ohne diese beschwerdeweise zu substanziieren oder eine entsprechende Rechnung einzureichen (vgl. Urk. 1 S. 1).</w:t>
      </w:r>
    </w:p>
    <w:p>
      <w:r>
        <w:t>2.2.1?? Im verwaltungsgerichtlichen Beschwerdeverfahren sind grunds?tzlich nur Rechtsverh?ltnisse zu ?berpr?fen bzw. zu beurteilen, zu denen die zust?ndige Verwaltungsbeh?rde vorg?ngig verbindlich - in Form einer Verf?gung - Stellung genommen hat. Insoweit bestimmt die Verf?gung respektive der Einspracheentscheid den beschwerdeweise weiterziehbaren Anfechtungsgegenstand. Umgekehrt fehlt es an einem Anfechtungsgegenstand und somit an einer Sachurteilsvoraussetzung, wenn und insoweit keine Verf?gung ergangen ist (BGE 125 V 414 Erw. 1a, 119 Ib 36 Erw. 1b, je mit Hinweisen). Nach der Rechtsprechung des Eidgen?ssischen Versicherungsgerichts kann das verwaltungsgerichtliche Verfahren aus prozess?konomischen Gr?nden auf eine ausserhalb des Anfechtungsgegenstandes, d.h. ausserhalb des durch die Verf?gung respektive durch den Einspracheentscheid bestimmten Rechtsverh?ltnisses liegende spruchreife Frage ausgedehnt werden, wenn diese mit dem bisherigen Streitgegenstand derart eng zusammenh?ngt, dass von einer Tatbestandsgesamtheit gesprochen werden kann, und wenn sich die Verwaltung zu dieser Streitfrage mindestens in Form einer Prozesserkl?rung ge?ussert hat (BGE 122 V 36 Erw. 2a mit Hinweisen).</w:t>
      </w:r>
    </w:p>
    <w:p>
      <w:r>
        <w:t>2.2.2 Gegenstand der Verf?gung vom 24. M?rz 2003 (Urk. 7/8) bildeten lediglich diejenigen zahn?rztlichen Behandlungskosten, welche bereits im Rahmen des gerichtlichen Entscheids vom 6. September 2002 (Verfahren Nr. KV.2001.00090) zu beurteilen waren. Eine Rechnung von A.___ ?ber Fr. 10'548.75 stand damals nicht im Streite. Mit Einsprache vom 25. M?rz 2003 stellte der Versicherte zum ersten Mal Antrag auf ?bernahme dieser Kosten, ohne dieselben jedoch zu substanziieren oder zu belegen (Urk. 7/9 S. 3). Die Verwaltung unterliess es denn auch, im Einspracheentscheid vom 8. Mai 2003 hierauf einzugehen und den Streitgegenstand auf die neu geltend gemachten Kosten auszudehnen, was nicht zu beanstanden ist, reichte der Beschwerdef?hrer doch weder eine entsprechende Rechnung ein noch legte er dar, in welchem Zusammenhang die offensichtlich neuerliche Behandlung durch A.___ mit den bisher durchgef?hrten zahn?rztlichen Behandlungen stand. Aus denselben Gr?nden steht auch im vorliegenden Verfahren eine Ausdehnung des Streitgegenstandes ausser Frage, und es ist auf die Beschwerde diesbez?glich nicht einzutreten.</w:t>
      </w:r>
    </w:p>
    <w:p>
      <w:r>
        <w:t>2.3????? Soweit der Beschwerdef?hrer wie schon im urspr?nglichen Verfahren Nr. KV.2001.00090 den Pflichtleistungscharakter der zahn?rztlichen Behandlungen mit einer allergischen Reaktion auf Zahnersatz oder mit der angeblichen zahn?rztlichen Fehlbehandlung im Jahr 1960 begr?ndet, kann ebenso auf die diesbez?glichen Ausf?hrungen im Urteil vom 6. September 2002 verwiesen werden, wie auf die entsprechenden Erw?gungen betreffend den fehlenden Zusammenhang zwischen der strittigen Behandlung mit Knochenaufbau im Oberkiefer und Implantatsetzung im Ober- und Unterkiefer und der Kiefergelenksarthrose (Urk. 7/7 S. 5 ff.). Weitere Ausf?hrungen hierzu er?brigen sich.</w:t>
      </w:r>
    </w:p>
    <w:p>
      <w:r>
        <w:rPr>
          <w:b/>
        </w:rPr>
        <w:t>E. 3</w:t>
      </w:r>
    </w:p>
    <w:p>
      <w:r>
        <w:t>Zustellung gegen Empfangsschein an:</w:t>
      </w:r>
    </w:p>
    <w:p>
      <w:r>
        <w:t>- K.___</w:t>
      </w:r>
    </w:p>
    <w:p>
      <w:r>
        <w:t>- Helsana Versicherungen AG</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