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KV.2003.00037 vom 19. Januar 2004</w:t>
      </w:r>
    </w:p>
    <w:p>
      <w:r>
        <w:t>ZH Sozialversicherungsgericht, 2004-01-19, DE</w:t>
      </w:r>
    </w:p>
    <w:p>
      <w:r>
        <w:rPr>
          <w:b/>
        </w:rPr>
        <w:t xml:space="preserve">Quelle: </w:t>
      </w:r>
      <w:r>
        <w:t>https://mcp.opencaselaw.ch/entscheid/zh_sozialversicherungsgericht_KV.2003.00037</w:t>
      </w:r>
    </w:p>
    <w:p>
      <w:r>
        <w:t>FR: ZH_SOZIALVERSICHERUNGSGERICHT KV.2003.00037 du 19 janvier 2004</w:t>
      </w:r>
    </w:p>
    <w:p>
      <w:r>
        <w:t>IT: ZH_SOZIALVERSICHERUNGSGERICHT KV.2003.00037 del 19 gennaio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Â Â Â Â Â  Am 1. Januar 2003 ist das Bundesgesetz Ã¼ber den Allgemeinen Teil des Sozialversicherungsrechts (ATSG) vom 6. Oktober 2000 in Kraft getreten. Mit ihm sind zahlreiche Bestimmungen im Sozialversicherungsbereich geÃ¤ndert worden. Weil in zeitlicher Hinsicht grundsÃ¤tzlich diejenigen RechtssÃ¤tze massgebend sind, die bei der ErfÃ¼llung des zu Rechtsfolgen fÃ¼hrenden Tatbestandes Geltung haben (BGE 127 V 467 Erw. 1), sind im vorliegenden Fall, da es um die KostenÃ¼bernahme der Operation geht, die im Jahr 2002 stattgefunden hat, die neuen Bestimmungen nicht anwendbar.</w:t>
      </w:r>
    </w:p>
    <w:p>
      <w:r>
        <w:rPr>
          <w:b/>
        </w:rPr>
        <w:t>E. 3</w:t>
      </w:r>
    </w:p>
    <w:p>
      <w:r>
        <w:t>3.1Â Â Â Â  Im Rahmen der obligatorischen Krankenpflegeversicherung werden im Falle einer Krankheit (Art. 2 Abs. 1 des Bundesgesetzes Ã¼ber die Krankenversicherung; KVG) die Krankenkassen nach Art. 24 KVG verpflichtet, die Kosten fÃ¼r die in den Artikeln 25-31 KVG aufgelisteten Leistungen nach Massgabe der in den Artikeln 32-34 KVG festgelegten Voraussetzungen zu Ã¼bernehmen. Zum Leistungsbereich gemÃ¤ss den Artikeln 25-31 KVG gehÃ¶ren die Kosten fÃ¼r die Leistungen, die der Diagnose oder Behandlung einer Krankheit und ihrer Folgen dienen (Art. 25 Abs. 1 KVG). Diese Leistungen umfassen unter anderem die Untersuchungen, Behandlungen und Pflegemassnahmen, die ambulant, bei Hausbesuchen, stationÃ¤r, teilstationÃ¤r oder in einem Pflegeheim von Ãrzten oder Ãrztinnen durchgefÃ¼hrt werden (Art. 25 Abs. 2 lit. a Ziff. 1 KVG). Die Leistungen nach den Art. 25-31 KVG mÃ¼ssen wirksam, zweckmÃ¤ssig und wirtschaftlich sein. Die Wirksamkeit muss nach wissenschaftlichen Methoden nachgewiesen sein (Art. 32 Abs. 1 KVG). Der Krankenversicherer darf im Rahmen der obligatorischen Krankenpflegeversicherung keine anderen Kosten als diejenigen fÃ¼r die Leistungen nach Art. 25-33 KVG Ã¼bernehmen (Art. 34 Abs. 1 KVG).</w:t>
      </w:r>
    </w:p>
    <w:p>
      <w:r>
        <w:t>Der Bundesrat kann die von Ãrzten und Ãrztinnen erbrachten Leistungen bezeichnen, deren Kosten von der obligatorischen Krankenpflegeversicherung nicht oder nur unter bestimmten Bedingungen Ã¼bernommen werden (Art. 33 Abs. 1 KVG). Art. 33 Abs. 1 KVG erteilt dem Bundesrat somit im Bereich der Ã¤rztlichen Heilanwendungen die Befugnis zur Bezeichnung einer Negativliste, die abschliessend ist. Diese gesetzliche Ordnung enthÃ¤lt insofern eine fÃ¼r die die KostenvergÃ¼tung anbegehrenden Versicherten vorteilhafte Ordnung, als im Falle einer seitens eines Arztes erbrachten Leistung die KostenvergÃ¼tungspflicht der Kasse zu bejahen ist, sofern die Ã¤rztlich erbrachte Leistung nicht (seitens des Bundesrates bzw. des EidgenÃ¶ssischen Departementes des Innern nach AnhÃ¶rung der beratenden Kommissionen; Art. 33 Abs. 5 KVG) von der KostenvergÃ¼tungspflicht ausgenommen worden ist. Die von Ãrzten als AngehÃ¶rige eines freien Berufes applizierten Heilanwendungen haben somit die gesetzliche Vermutung fÃ¼r sich, dass sie den Voraussetzungen fÃ¼r eine KostenÃ¼bernahme durch die obligatorische Krankenpflegeversicherung entsprechen. HÃ¤lt ein Krankenversicherer dafÃ¼r, dass eine bestimmte nicht ausgeschlossene Ã¤rztliche Therapie unwirksam, unzweckmÃ¤ssig oder unwirtschaftlich sei (Art. 32 Abs. 1 KVG), hat er im Rahmen des Untersuchungsgrundsatzes die VerhÃ¤ltnisse abzuklÃ¤ren (zum Beispiel durch Einholung eines Gutachtens) und hernach Ã¼ber die Leistungspflicht im Einzelfall zu verfÃ¼gen (BGE 129 V 170 f. Erw. 3.2 mit Hinweisen). Der Bundesrat bestimmt schliesslich nach Art. 33 Abs. 3 KVG, in welchem Umfang die obligatorische Krankenpflegeversicherung die Kosten einer neuen oder umstrittenen Leistung Ã¼bernimmt, deren Wirksamkeit, ZweckmÃ¤ssigkeit oder Wirtschaftlichkeit sich noch in AbklÃ¤rung befindet. Auch hier geht es um die Erstellung einer Liste, die grundsÃ¤tzlich abschliessend ist (BGE 129 V 171 Erw. 3.2 mit Hinweis).</w:t>
      </w:r>
    </w:p>
    <w:p>
      <w:r>
        <w:t>3.2Â Â Â Â  Zur Umsetzung von Art. 33 KVG hat der Bundesrat in Art. 33 der Verordnung Ã¼ber die Krankenversicherung (KVV) vorgesehen, dass das Departement nach AnhÃ¶ren der zustÃ¤ndigen Kommission die von Ãrzten/Ãrztinnen erbrachten Leistungen, deren Kosten nicht oder nur unter bestimmten Bedingungen von der obligatorischen Krankenpflegeversicherung Ã¼bernommen werden (lit. a), und die neuen oder umstrittenen Leistungen, deren Wirksamkeit, ZweckmÃ¤ssigkeit oder Wirtschaftlichkeit sich in AbklÃ¤rung befindet, bezeichnet und die Voraussetzungen und den Umfang der KostenÃ¼bernahme durch die obligatorische Krankenpflegeversicherung bestimmt (lit. c).</w:t>
      </w:r>
    </w:p>
    <w:p>
      <w:r>
        <w:t>Das EidgenÃ¶ssische Departement des Innern hat hierzu die Verordnung Ã¼ber die Leistungen in der obligatorischen Krankenpflegeversicherung (KLV) erlassen. In deren Anhang 1 werden nach Art. 1 KLV diejenigen Leistungen bezeichnet, die gemÃ¤ss Art. 33 lit. a und c KVV von der Leistungskommission geprÃ¼ft wurden und deren Kosten von der obligatorischen Krankenpflegeversicherung Ã¼bernommen werden (lit. a), nur unter bestimmten Voraussetzungen Ã¼bernommen werden (lit. b) und nicht Ã¼bernommen werden (lit. c).</w:t>
      </w:r>
    </w:p>
    <w:p>
      <w:r>
        <w:t>Im Rahmen der ophtalmologischen Behandlungen sieht dabei Ziffer 6 des Anhangs 1 der KLV in der Version seit 1. Januar 1997 vor, dass die refraktive Chirurgie zur Behandlung von Anisometropie nur dann als Pflichtleistung Ã¼bernommen wird, wenn die Anisometropie nicht durch Brillen korrigiert werden kann und eine KontaktlinsenunvertrÃ¤glichkeit besteht. Eine Excimer-Laser-Behandlung zur Myopie-Korrektur wird nicht Ã¼bernommen.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T.___</w:t>
      </w:r>
    </w:p>
    <w:p>
      <w:r>
        <w:t>- Krankenkasse KPT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4.3</w:t>
      </w:r>
    </w:p>
    <w:p>
      <w:r>
        <w:t>4.3.1Â Â  Das Ziel der refraktiven Chirurgie ist es, Fehlsichtigkeiten aufgrund von Refraktionsanomalien operativ zu beheben. Die Behandlung ungleicher Refraktionen der beiden Augen (=Anisometropien) mittels refraktiver Chirurgie ist gemÃ¤ss Ziffer 6 des erwÃ¤hnten Anhangs 1 der KLV eine Pflichtleistung, wenn die ungleiche Refraktion nicht durch Brillen korrigiert werden kann und eine KontaktlinsenunvertrÃ¤glichkeit besteht. Eine Methode von refraktiver Chirurgie stellt die Excimer-Laser-Behandlung dar, deren Verwendung zur Korrektur von Kurzsichtigkeit (Myopie) in Ziffer 6 des Anhangs 1 der KLV ausdrÃ¼cklich als Nichtpflichtleistung aufgefÃ¼hrt ist.</w:t>
      </w:r>
    </w:p>
    <w:p>
      <w:r>
        <w:t>Vorliegend wurde eine Excimer-Laser-Behandlung mit der LASIK-Methode (Laser-in-situ-Keratomileusis) durchgefÃ¼hrt, um den beim BeschwerdefÃ¼hrer bestehenden hyperopen Astigmatismus mit dem zeitweise dekompensierenden Schielen zu korrigieren. Wie das EidgenÃ¶ssische Versicherungsgericht in einem kÃ¼rzlich gefÃ¤llten Urteil entsprechend einem Entscheid des hiesigen Gerichts (Verfahren Nr. IV.2002.00354) bestÃ¤tigt hat, ist diese spezielle Methode einer Excimer-Laser-Behandlung zur Behebung von Astigmatismus und von Weitsichtigkeit ebenfalls keine Pflichtleistung des Krankenversicherers, da die Wirksamkeit, ZweckmÃ¤ssigkeit und Wirtschaftlichkeit bis heute nicht hinreichend nachgewiesen sind (Urteil des EidgenÃ¶ssischen Versicherungsgerichts vom 11. Dezember 2003 in Sachen B., I 519/03). Die LASIK-Methode als Excimer-Laser-Behandlung nach Ziffer 6 des Anhangs 1 der KLV ist somit aufgrund von Art. 34 Abs. 1 KVG von den Krankenkassen nicht zu Ã¼bernehmen.</w:t>
      </w:r>
    </w:p>
    <w:p>
      <w:r>
        <w:t>4.3.2Â Â  Die Beschwerdegegnerin hat diese Rechtslage erkannt und bestreitet nicht, dass sie die Excimer-Laser-Behandlungen aus diesem Grund ablehnen mÃ¼sste. Sie legt jedoch dar, dass heute fast nur noch die LASIK-Methode zur Anwendung komme. Deshalb Ã¼bernehme sie diese Kosten, wenn die Bedingungen fÃ¼r die refraktive Chirurgie im Sinne von Ziffer 6 des Anhangs 1 KLV gegeben seien (Urk. 15).</w:t>
      </w:r>
    </w:p>
    <w:p>
      <w:r>
        <w:t>Â Â Â Â Â Â Â Â  Diese Praxis erweist sich nach dem Gesagten jedoch klar als rechtswidrig. Denn die LASIK-Methode gehÃ¶rt zur Excimer-Laser Technik, die gegenwÃ¤rtig - wie gezeigt wurde - mangels Wirksamkeit, ZweckmÃ¤ssigkeit und Wirtschaftlichkeit keine Pflichtleistung darstellt. Das Verfahren mit der Excimer-Laser Technik wurde von der Leistungskommission geprÃ¼ft und selbst bei der Myopie-Operation, bei der bis anhin die besten Ergebnisse erbracht wurden (vgl. erwÃ¤hntes Urteil des hiesigen Gerichts vom 24. Juni 2003 in Sachen B., Verfahren IV.2002.00354, mit Hinweisen auf medizinische Grundlagen), im Anhang 1 der KLV als Nichtpflichtleistung aufgefÃ¼hrt. Es geht somit nicht an, die Kosten der LASIK-Behandlung quasi durch die HintertÃ¼r via den Oberbegriff der refraktiven Chirurgie und deren spezielle Voraussetzungen gemÃ¤ss Ziffer 6 des Anhangs 1 der KLV der obligatorischen Krankenversicherung zu Ã¼berwÃ¤lzen.</w:t>
      </w:r>
    </w:p>
    <w:p>
      <w:r>
        <w:rPr>
          <w:b/>
        </w:rPr>
        <w:t>E. 4.4</w:t>
      </w:r>
    </w:p>
    <w:p>
      <w:r>
        <w:t>Allerdings stellt sich die Frage, ob sich der BeschwerdefÃ¼hrer auf den Grundsatz der Gleichbehandlung im Unrecht berufen kann und die Krankenkasse aus diesem Grund die Kosten der Augenoperation zu Ã¼bernehmen hat.</w:t>
      </w:r>
    </w:p>
    <w:p>
      <w:r>
        <w:t>4.4.1.Â  Nach der Rechtsprechung geht der Grundsatz der GesetzmÃ¤ssigkeit der Verwaltung in der Regel der RÃ¼cksicht auf die gleichmÃ¤ssige Rechtsanwendung vor. Der Umstand, dass das Gesetz in anderen FÃ¤llen nicht oder nicht richtig angewendet worden ist, gibt den BÃ¼rgerinnen und BÃ¼rgern grundsÃ¤tzlich keinen Anspruch darauf, ebenfalls abweichend vom Gesetz behandelt zu werden. Das gilt jedoch nur, wenn lediglich in einem einzigen oder in einigen wenigen FÃ¤llen eine abweichende Behandlung dargetan ist. Wenn dagegen die BehÃ¶rde die Aufgabe der in anderen FÃ¤llen geÃ¼bten gesetzwidrigen Praxis ablehnt, kann ein BÃ¼rger oder eine BÃ¼rgerin verlangen, dass die gesetzwidrige BegÃ¼nstigung, die den Dritten zuteil wird, auch ihm beziehungsweise ihr gewÃ¤hrt werde, soweit dies nicht andere legitime Interessen verletzt. Die Anwendung der Gleichbehandlung im Unrecht setzt als Vorbedingung voraus, dass die zu beurteilenden Sachverhalte identisch oder zumindest Ã¤hnlich sind (BGE 126 V 392 Erw. 6a mit Hinweisen).</w:t>
      </w:r>
    </w:p>
    <w:p>
      <w:r>
        <w:rPr>
          <w:b/>
        </w:rPr>
        <w:t>E. 4.4.2</w:t>
      </w:r>
    </w:p>
    <w:p>
      <w:r>
        <w:t>Vorliegend legt die Beschwerdegegnerin in ihrer Stellungnahme vom 3. Dezember 2003 (Urk. 15) offen, dass die rechtswidrige Praxis der Ãbernahme der LASIK-Operationen unter den Bedingungen der refraktiven Chirurgie konstant zur Anwendung gelangt, und es gibt keinen Hinweis dafÃ¼r, dass sie von dieser Praxis abzuweichen gedenkt (Urk. 15). Bei dieser Sachlage hat die Gleichbehandlung des BeschwerdefÃ¼hrers mit den anderen, bei der Beschwerdegegnerin versicherten Personen dem Grundsatz der gesetzmÃ¤ssigen Verwaltung vorzugehen. Die Kosten seiner LASIK-Behandlung sind demzufolge von der Beschwerdegegnerin zu Ã¼bernehmen, wenn die Voraussetzungen fÃ¼r die refraktive Chirurgie im Sinne von Ziffer 6 des Anhangs 1 KLV gegeben sind, mithin eine Anisometropie behandelt wurde, die nicht durch Brillen korrigiert werden konnte, und eine KontaktlinsenunvertrÃ¤glichkeit bestand.</w:t>
      </w:r>
    </w:p>
    <w:p>
      <w:r>
        <w:t>4.4.3Â Â  Ob im vorliegenden Fall diese Bedingungen gegeben waren, wurde nicht hinreichend fachÃ¤rztlich abgeklÃ¤rt. WÃ¤hrend die behandelnden Ãrzte von einer pathologischen praeoperativen Ausgangssituation mit unterschiedlichen refraktiven Werten der beiden Augen ausgehen, die nur mittels der LASIK-Methode und nicht mit einer Brille behoben werden konnte (Urk. 9/7, Beilagen 2 und 3 zu Urk. 9/12), spricht der Vertrauensarzt Dr. D.__den praeoperativen Werten der Augen eine behandlungsbedÃ¼rftige Anomalie ab und erachtet die erhobenen Werte (+0,25 = -0,5/135Â° rechts; +0,5 = -0,75/55Â° links) als absolut normal (Urk. 9/15). Wie es sich damit verhÃ¤lt, ist fachÃ¤rztlich abzuklÃ¤ren. Denn aus den Unterlagen geht nicht hervor, ob Dr. D.__bei seiner Beurteilung bekannt war, dass beim BeschwerdefÃ¼hrer neben dieser Refraktions- auch eine Schielproblematik vorlag, die - wie die behandelnden Ãrzte darlegen - nun durch die korrigierte Refraktion gut kompensiert sei, was dazu gefÃ¼hrt habe, dass die Kopfschmerzen des BeschwerdefÃ¼hrers nicht mehr vorhanden seien (Beilage 3 zu Urk. 9/12). Sodann betonen die beiden behandelnden Ãrzte, dass der Versicherte an einer ausgesprochenen Trockenheit der Augen leide, und bejahen daher auch das Vorliegen einer KontaktlinsenunvertrÃ¤glichkeit (Beilage 3 zu Urk. 9/12).</w:t>
      </w:r>
    </w:p>
    <w:p>
      <w:r>
        <w:t>Â Â Â Â Â Â Â Â  Die Sache ist daher an die Beschwerdegegnerin zurÃ¼ckzuweisen, damit sie ein augenÃ¤rztliches Gutachten zu den offenen Fragen einhole. Die Beschwerde ist in diesem Sinne gutzuheissen.</w:t>
      </w:r>
    </w:p>
    <w:p>
      <w:r>
        <w:t>5.Â Â Â Â Â Â  Nach Art. 61 lit. g ATSG hat die obsiegende Beschwerde fÃ¼hrende Partei Anspruch auf Ersatz der Parteikosten. Diese werden vom Versicherungsgericht festgesetzt und ohne RÃ¼cksicht auf den Streitwert nach der Bedeutung der Streitsache und nach der Schwierigkeit des Prozesses bemessen.</w:t>
      </w:r>
    </w:p>
    <w:p>
      <w:r>
        <w:t>Â Â Â Â Â Â Â Â  Nach diesen GrundsÃ¤tzen und weil eine RÃ¼ckweisung zur weiteren AbklÃ¤rung einem Obsiegen entspricht, hat der BeschwerdefÃ¼hrer Anspruch auf eine ProzessentschÃ¤digung von Fr. 500.-- (inkl. Mehrwertsteuer und Barauslagen).</w:t>
      </w:r>
    </w:p>
    <w:p>
      <w:r>
        <w:t>Das Gericht erkennt:</w:t>
      </w:r>
    </w:p>
    <w:p>
      <w:r>
        <w:t>1.Â Â Â Â Â Â Â Â  Die Beschwerde wird in dem Sinne gutgeheissen, dass der Einspracheentscheid vom 28. MÃ¤rz 2003 aufgehoben und die Sache an die Beschwerdegegnerin zurÃ¼ckgewiesen wird, damit sie, nach Einholung eines Gutachtens im Sinne der ErwÃ¤gungen, Ã¼ber die Leistungspflicht neu verfÃ¼ge.</w:t>
      </w:r>
    </w:p>
    <w:p>
      <w:r>
        <w:t>2.Â Â Â Â Â Â Â Â  Das Verfahren ist kostenlos.</w:t>
      </w:r>
    </w:p>
    <w:p>
      <w:r>
        <w:t>3. Â Â Â Â Â Â Â  Die Beschwerdegegnerin wird verpflichtet, dem BeschwerdefÃ¼hrer eine ProzessentschÃ¤digung von Fr. 500.-- (inkl. Mehrwertsteuer und Barauslagen)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