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KK.2023.00033 vom 27. Dezember 2024</w:t>
      </w:r>
    </w:p>
    <w:p>
      <w:r>
        <w:t>ZH Sozialversicherungsgericht, 2024-12-27, DE</w:t>
      </w:r>
    </w:p>
    <w:p>
      <w:r>
        <w:rPr>
          <w:b/>
        </w:rPr>
        <w:t xml:space="preserve">Quelle: </w:t>
      </w:r>
      <w:r>
        <w:t>https://mcp.opencaselaw.ch/entscheid/zh_sozialversicherungsgericht_KK.2023.00033</w:t>
      </w:r>
    </w:p>
    <w:p>
      <w:r>
        <w:t>FR: ZH_SOZIALVERSICHERUNGSGERICHT KK.2023.00033 du 27 décembre 2024</w:t>
      </w:r>
    </w:p>
    <w:p>
      <w:r>
        <w:t>IT: ZH_SOZIALVERSICHERUNGSGERICHT KK.2023.00033 del 27 dicembre 2024</w:t>
      </w:r>
    </w:p>
    <w:p>
      <w:pPr>
        <w:pStyle w:val="Heading2"/>
      </w:pPr>
      <w:r>
        <w:t>Erwägungen</w:t>
      </w:r>
    </w:p>
    <w:p>
      <w:r>
        <w:rPr>
          <w:b/>
        </w:rPr>
        <w:t>E. 1.1</w:t>
      </w:r>
    </w:p>
    <w:p>
      <w:r>
        <w:t>Das Sozialversicherungsgericht ist als einzige kantonale Gerichtsinstanz für Klagen über Streitigkeiten aus Zusatzversicherungen zur sozialen Krankenversicherung nach dem Bundesgesetz über die Krankenver sicherung (KVG) zuständig (Art. 7 der Schweizerischen Zivilprozessor dnung, ZPO, in Verbindung mit § 2 Abs. 2 lit . b des Gesetzes über das Sozialversicherungsge richt, GSVGer ; BGE 138 III 2 E. 1.2.2), ohne dass vorgängig ein Schlichtungsverfahren durchz uführen ist (BGE 138 III 558 E. 4). Das Verfahren richtet sich nach der ZPO, wobei das vereinfachte Verfah ren zur Anwendung gelangt (Art. 243 Abs. 2 lit . f ZPO) .</w:t>
      </w:r>
    </w:p>
    <w:p>
      <w:r>
        <w:rPr>
          <w:b/>
        </w:rPr>
        <w:t>E. 1.2</w:t>
      </w:r>
    </w:p>
    <w:p>
      <w:r>
        <w:t>als Leistungsbegehren aus bzw. bestritt die diesbezüglichen Ausführungen des Klägers nicht (vgl. Urk. 30 S. 4). Im Folgenden ist daher zu prüfen, ob der Kläger für die Zeit vom 1. Oktober 2023 bis 1 3. September 2024 Anspruch auf die Ausrichtung von Krankentaggeldern durch die Beklagte hat. 5. 5.1</w:t>
      </w:r>
    </w:p>
    <w:p>
      <w:r>
        <w:t>Unbestritten ist die seit dem Unfall vom 1 9. April 2022 bestehende dauerhafte Arbeitsunfähigkeit des Klägers in der angestammten Tätigkeit als Trassee-Monteur (vgl. Urk. 8 S. 4 und S. 8 , Urk. 30 S. 5 Ziff. 7 ). Demgegenüber bestreitet die Beklagte die vom Kläger auch für leidensangepasste Tätigkeiten geltend gemachte vollumfängliche Arbeitsunfähigkeit ( Urk. 8 S. 6 Ziff. 3.1, Urk. 24 S. 4 ; Urk.</w:t>
      </w:r>
    </w:p>
    <w:p>
      <w:r>
        <w:rPr>
          <w:b/>
        </w:rPr>
        <w:t>E. 1.2.2</w:t>
      </w:r>
    </w:p>
    <w:p>
      <w:r>
        <w:t>mit Hinweisen).</w:t>
      </w:r>
    </w:p>
    <w:p>
      <w:r>
        <w:t>Rechtsbegehren sind nach Treu und Glauben auszulegen, insbesondere im Lichte der dazu gegebenen Begründung</w:t>
      </w:r>
    </w:p>
    <w:p>
      <w:r>
        <w:t>(BGE 147 V 369 E. 4.2.1 mit Hinweisen). 4.3</w:t>
      </w:r>
    </w:p>
    <w:p>
      <w:r>
        <w:t>Der Kläger erklärte in seiner Replik, sein Rechtsbegehren Ziff.</w:t>
      </w:r>
    </w:p>
    <w:p>
      <w:r>
        <w:rPr>
          <w:b/>
        </w:rPr>
        <w:t>E. 2</w:t>
      </w:r>
    </w:p>
    <w:p>
      <w:r>
        <w:t>Eventualiter sei durch die Beklagte auf deren Kosten eine</w:t>
      </w:r>
    </w:p>
    <w:p>
      <w:r>
        <w:t>Begutachtung des Klägers in den medizinischen Bereichen</w:t>
      </w:r>
    </w:p>
    <w:p>
      <w:r>
        <w:t>Orthopädie und Neurologie zu veranlassen.</w:t>
      </w:r>
    </w:p>
    <w:p>
      <w:r>
        <w:rPr>
          <w:b/>
        </w:rPr>
        <w:t>E. 2.1</w:t>
      </w:r>
    </w:p>
    <w:p>
      <w:r>
        <w:t>mit Hinwei sen; vgl. auch BGE 142 V 448 E. 4.1).</w:t>
      </w:r>
    </w:p>
    <w:p>
      <w:r>
        <w:t>Der klägerische Antrag auf unentgeltliche Prozessführung ( Urk. 1 S. 2) erweist sich daher als gegenstandslos. 8 .2</w:t>
      </w:r>
    </w:p>
    <w:p>
      <w:r>
        <w:t>Die obsiegende Beklagte wurde nicht durch einen externen Anwalt vertreten. Sie hat somit entgegen ihrem Antrag ( Urk.</w:t>
      </w:r>
    </w:p>
    <w:p>
      <w:r>
        <w:rPr>
          <w:b/>
        </w:rPr>
        <w:t>E. 2.2</w:t>
      </w:r>
    </w:p>
    <w:p>
      <w:r>
        <w:t>Nach Art. 87 VVG steht demjenigen, zu dessen Gunsten eine kollektive Unfall- oder Krankenversicherung abgeschlossen worden ist, mit dem Eintritt des Unfalls oder der Krankheit ein selbständiges Forderungsrecht gegen den Versicherer zu (Urteil des B undesgerichts 4A_10/2016 vom 8. September 2016 E.</w:t>
      </w:r>
    </w:p>
    <w:p>
      <w:r>
        <w:t>4.1 mit Hinweis auf BGE 141 III 112 E. 4.3, nicht publiziert in BGE 142 III 671).</w:t>
      </w:r>
    </w:p>
    <w:p>
      <w:r>
        <w:rPr>
          <w:b/>
        </w:rPr>
        <w:t>E. 2.3</w:t>
      </w:r>
    </w:p>
    <w:p>
      <w:r>
        <w:t>mit Hinweisen; vgl. auch BGE 133 III 527 E. 3.2.1). 6.3</w:t>
      </w:r>
    </w:p>
    <w:p>
      <w:r>
        <w:t>Der Kläger vertritt den Standpunkt, ein Berufswechsel sei ihm aufgrund seines fortgeschrittenen Alters , der gesundheitlichen Probleme, der fehlenden beruf lichen Kompetenzen, der erfolglosen Bewerbungen in der Vergangenheit sowie der Unterhalts- und Betreuungsverpflichtungen gegenüber seinem Sohn nicht mehr zumutbar ( Urk. 8 S. 7 f., Urk. 24 S. 4-6). Der Kläger war zum massgebenden Zeitpunkt a m 3 0. September 2023 (Ablauf der von der Beklagten gesetzten Über gangsfrist [ Urk. 17/14]; vgl. Urteil des Bundesgerichts 9C_177/2022 vom 1 8. August 2022 E. 6.4) rund 60.5 Jahre alt. Damit verblieb ihm noch eine Beschäftigungsdauer von 4.5 Jahren bis zum ordentlichen AHV- Pensionsalter. Es wird nicht behauptet , dass aufgrund der Tätigkeit in der Baubranche die Voraussetzungen für einen frühere n Altersrücktritt erfüllt gewesen wäre n (vgl. Gesamt arbeitsvertrag für den flexiblen Altersrücktritt im Bauhauptgewerbe [GAV FAR]) .</w:t>
      </w:r>
    </w:p>
    <w:p>
      <w:r>
        <w:t>Die dem Kläger noch zumutbaren körperlich leichten und überwiegend sitzenden Hilfsarbeitertätigkeiten bedürfen keiner besonderen Kenntnisse oder Anforderungen und auch keiner längeren Einarbeitungszeit , wie die Beklagte zu Recht vorbringt ( Urk.</w:t>
      </w:r>
    </w:p>
    <w:p>
      <w:r>
        <w:rPr>
          <w:b/>
        </w:rPr>
        <w:t>E. 2.4</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 BGE 148 III 105 E. 3.3.1 mit Hinweisen). 3.</w:t>
      </w:r>
    </w:p>
    <w:p>
      <w:r>
        <w:rPr>
          <w:b/>
        </w:rPr>
        <w:t>E. 3</w:t>
      </w:r>
    </w:p>
    <w:p>
      <w:r>
        <w:t>Kosten und Entschädigung inkl. 7.7 %</w:t>
      </w:r>
    </w:p>
    <w:p>
      <w:r>
        <w:t>MWSt zu Lasten der</w:t>
      </w:r>
    </w:p>
    <w:p>
      <w:r>
        <w:t>Beklagten.»</w:t>
      </w:r>
    </w:p>
    <w:p>
      <w:r>
        <w:t>Des Weiteren stellte der Kläger ein Gesuch um Gewährung der unentgeltlichen Prozessführung und der unentgeltlichen Rechtsvertretung in der Person der ihn vertretenden Rechtsanwältin ( Urk. 1 S. 2). Mit Eingabe vom 6. Dezember 2023 ( Urk. 4) reichte der Kläger einen Handelsregisterauszug zu den Akten ( Urk. 5/2). Innert mit Verfügung vom 1 2. Dezember 2023 ( Urk. 6) angesetzter Frist wurde die Klageschrift eigenhändig original unterzeichnet ( Urk. 8). Mit Eingabe vom 17. Januar 2024 ergänzte der Kläger unter Beilage weiterer Unterlagen seine Klagebegründung ( Urk. 12 f.). Die Beklagte beantragte mit Klageantwort vom 12. April 2024 die vollumfängliche Abweisung der Klage ( Urk. 16 S. 2). Mit Verfügung vom 2 9. April 2024 zog das Gericht den klägerischen Anträgen entsprechend (vgl. Urk.</w:t>
      </w:r>
    </w:p>
    <w:p>
      <w:r>
        <w:rPr>
          <w:b/>
        </w:rPr>
        <w:t>E. 3.1</w:t>
      </w:r>
    </w:p>
    <w:p>
      <w:r>
        <w:t>Gegenstand der Klage vom 4. Dezember 2023 bildet der Anspruch auf Kranken taggelder für die Zeit vom 1. Oktober 2023 bis 1 3. September 2024 (Urk.</w:t>
      </w:r>
    </w:p>
    <w:p>
      <w:r>
        <w:rPr>
          <w:b/>
        </w:rPr>
        <w:t>E. 3.2</w:t>
      </w:r>
    </w:p>
    <w:p>
      <w:r>
        <w:t>Mit Klageantwort vom 1 2. April 2024 bestritt die Beklagte ihre Leistungspflicht für die eingeklagten Krankentaggelder vollumfänglich, wobei sie insbesondere vorbrachte , der Kläger habe am 1 8. November 2022 gegenüber der Invaliden versicherung angegeben, im Alltag ausser beim Heben von schweren Gewichten nicht mehr eingeschränkt zu sein. Eine Bürotätigkeit in einem 50%-Pensum habe er einzig deswegen nicht aufgenommen, weil er den Entscheid der Beklagten habe abwarten woll en . Ferner habe Dr. med. C.___ , Facharzt für Allgemeine Innere Medizin, im März und Juni 2023 mehrmals eine volle Arbeitsfähigkeit für körperlich leichte Tätigkeiten wie z.B. einen Bürojob attestiert. Vor diesem Hintergrund könne nicht zweifelhaft sein, dass der Kläger spätestens im März 2023 voll arbeitsfähig gewesen sei. Zur Vornahme eines Berufswechsels sei ihm eine dreimonatige Übergangsfrist eingeräumt worden, was mit der höchstrichter lichen Rechtsprechung kompatibel sei. Die Einstellung der Krankentaggeld - leistungen per 3 0. September 2023 sei daher zu Recht erfolgt ( Urk.</w:t>
      </w:r>
    </w:p>
    <w:p>
      <w:r>
        <w:rPr>
          <w:b/>
        </w:rPr>
        <w:t>E. 3.2.1</w:t>
      </w:r>
    </w:p>
    <w:p>
      <w:r>
        <w:t>und weiteren Hinweisen; vgl. auch Urteil des Bu ndesgerichts 4A_73/2019 vom 29. Juli 2019 E.</w:t>
      </w:r>
    </w:p>
    <w:p>
      <w:r>
        <w:rPr>
          <w:b/>
        </w:rPr>
        <w:t>E. 3.3</w:t>
      </w:r>
    </w:p>
    <w:p>
      <w:r>
        <w:t>Mit Replik vom 1 7. Juli 2024</w:t>
      </w:r>
    </w:p>
    <w:p>
      <w:r>
        <w:t>äusserte sich der Kläger dahingehend , das Klage begehren Ziff.</w:t>
      </w:r>
    </w:p>
    <w:p>
      <w:r>
        <w:rPr>
          <w:b/>
        </w:rPr>
        <w:t>E. 3.3.2</w:t>
      </w:r>
    </w:p>
    <w:p>
      <w:r>
        <w:t>mit Hinweisen).</w:t>
      </w:r>
    </w:p>
    <w:p>
      <w:r>
        <w:t>Aus dem Zweck der Übergangsfrist folgt, dass während dieser Frist Taggelder weiterhin gemäss der Arbeitsunfähigkeit im angestammten Beruf zu leisten sind (Urteil des Bu ndesgerichts 4A_73/2019 vom 29. Juli 2019 E.</w:t>
      </w:r>
    </w:p>
    <w:p>
      <w:r>
        <w:rPr>
          <w:b/>
        </w:rPr>
        <w:t>E. 3.3.3</w:t>
      </w:r>
    </w:p>
    <w:p>
      <w:r>
        <w:t>mit Hinweisen).</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 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 wechsel unter Berücksichtigung seiner Ausbildung, seiner Arbeitserfahrung und seines Alters tatsächlich zugemutet werden kann (Urteil des Bundesgerichts 4A_495/2016 vom 5. Januar 2017 E.</w:t>
      </w:r>
    </w:p>
    <w:p>
      <w:r>
        <w:rPr>
          <w:b/>
        </w:rPr>
        <w:t>E. 3.4</w:t>
      </w:r>
    </w:p>
    <w:p>
      <w:r>
        <w:t>Mit Duplik vom 4. November 2024 bekräftige die Beklagte ihre Auffassung, dass dem Kläger eine leidensangepasste Tätigkeit in einem Vollpensum zumutbar sei und er den rechtsgenügenden Beweis für eine diesbezügliche Arbeitsunfähigkeit nicht erbracht habe . Nebst einer Bürotätigkeit komme für den Kläger</w:t>
      </w:r>
    </w:p>
    <w:p>
      <w:r>
        <w:t>beispiels weise auch eine Überwachungstätigkeit in Frage ( Urk. 30 S. 2 -5 ). 4. 4.1</w:t>
      </w:r>
    </w:p>
    <w:p>
      <w:r>
        <w:t>Klageweise wurde einerseits die Ausrichtung von Krankentaggeldern für die Monate Oktober und November 2023 beantragt ( Ziff. 1.1) . Andererseits wurde um die Feststellung ersucht, dass die Beklagte dem Kläger für die Zeit von Dezember 2023 bis 1 3. September 2024 Taggelder zu leisten haben werde ( Ziff. 1.2) . In Bezug auf beide Begehren erfolgte eine genaue Bezifferung der zu bezahlenden Beträge (Urk. 8 S. 2 und S. 8 Ziff. 4.2). 4.2</w:t>
      </w:r>
    </w:p>
    <w:p>
      <w:r>
        <w:t>Mit der Feststellungsklage verlangt der Kläger die gerichtliche Feststellung, dass ein Recht oder ein Rechtsverhältnis besteht oder nicht besteht ( Art. 88 ZPO). Jede Feststellungsklage setzt ein Feststellungsinteresse voraus (BGE 119 II 368 E. 2a). Ein solches fehlt in der Regel dem Inhaber eines Rechts, wenn diesem eine Leistungs- oder Gestaltungsklage zur Verfügung steht, die sofort eingereicht werden kann und die es ihm erlauben würde, direkt die Beachtung seines Rechts oder die Erfüllung der Forderung zu erwirken. In diesem Sinne ist die Feststel lungsklage im Verhältnis zu einer Leistungs- oder Gestaltungsklage subsidiär (BGE 135 III 378 E. 2.2; zum Ganzen: Urteil des Bundesgerichts 5 A_ 93 /202 3 vom 2 0. September 202 3 E.</w:t>
      </w:r>
    </w:p>
    <w:p>
      <w:r>
        <w:rPr>
          <w:b/>
        </w:rPr>
        <w:t>E. 8</w:t>
      </w:r>
    </w:p>
    <w:p>
      <w:r>
        <w:t>S. 7 f.).</w:t>
      </w:r>
    </w:p>
    <w:p>
      <w:r>
        <w:t>In seiner ergänzenden Klagebegründung vom 1 7. Januar 2024 führte der Kläger aus, nicht zu bestreiten, dass ihm von der Beklagten eine rechtskonforme Über gangsfrist bis zur Einstellung der Taggelder eingeräumt worden sei. Es verhalte sich jedoch so, dass es ihm seit dem Unfall aufgrund der Kniebeschwerden und der hinzugetretenen erheblichen Beeinträchtigungen am Rücken unzumutbar sei, eine Verweistätigkeit anzutreten. Die Ausführungen der Beklagten zur Über gangsfrist gingen daher an der Sache vorbei. Seitens seiner Arbeitgeberin sei ihm zudem entgegen den Ausführungen der Beklagten in der E-Mail vom 8. Dezember 2023</w:t>
      </w:r>
    </w:p>
    <w:p>
      <w:r>
        <w:t>zu keinem Zeitpunkt eine Bürotätigkeit angeboten worden , weshalb ihm auch keine Verletzung der Mitwirkungspflichten vorgeworfen werden könne ( Urk.</w:t>
      </w:r>
    </w:p>
    <w:p>
      <w:r>
        <w:rPr>
          <w:b/>
        </w:rPr>
        <w:t>E. 12</w:t>
      </w:r>
    </w:p>
    <w:p>
      <w:r>
        <w:t>S. 3 f.).</w:t>
      </w:r>
    </w:p>
    <w:p>
      <w:r>
        <w:rPr>
          <w:b/>
        </w:rPr>
        <w:t>E. 16</w:t>
      </w:r>
    </w:p>
    <w:p>
      <w:r>
        <w:t>S. 2)</w:t>
      </w:r>
    </w:p>
    <w:p>
      <w:r>
        <w:t>praxisgemäss mangels eines besonderen Aufwands (vgl. BGE 110 V 72 E. 7) keinen Anspruch auf eine Partei entschädigung (vgl. Urteil des Bundesgerichts 4A_355/2013 vom 22. Oktober 2013 E. 4.2).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