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KK.2020.00055 vom 2. Dezember 2022</w:t>
      </w:r>
    </w:p>
    <w:p>
      <w:r>
        <w:t>ZH Sozialversicherungsgericht, 2022-12-02, DE</w:t>
      </w:r>
    </w:p>
    <w:p>
      <w:r>
        <w:rPr>
          <w:b/>
        </w:rPr>
        <w:t xml:space="preserve">Quelle: </w:t>
      </w:r>
      <w:r>
        <w:t>https://mcp.opencaselaw.ch/entscheid/zh_sozialversicherungsgericht_KK.2020.00055</w:t>
      </w:r>
    </w:p>
    <w:p>
      <w:r>
        <w:t>FR: ZH_SOZIALVERSICHERUNGSGERICHT KK.2020.00055 du 2 décembre 2022</w:t>
      </w:r>
    </w:p>
    <w:p>
      <w:r>
        <w:t>IT: ZH_SOZIALVERSICHERUNGSGERICHT KK.2020.00055 del 2 dicembre 2022</w:t>
      </w:r>
    </w:p>
    <w:p>
      <w:pPr>
        <w:pStyle w:val="Heading2"/>
      </w:pPr>
      <w:r>
        <w:t>Erwägungen</w:t>
      </w:r>
    </w:p>
    <w:p>
      <w:r>
        <w:rPr>
          <w:b/>
        </w:rPr>
        <w:t>E. 1</w:t>
      </w:r>
    </w:p>
    <w:p>
      <w:r>
        <w:t>S. 2, Urk. 2/2 und Urk. 10 S. 3) . Aufgrund dieser Anstellung unterstand er der K ollektiv Krankenversicherung nach dem Bundesgesetz über den Versicherungsvertrag (VVG ; Urk. 2/3 S. 6 ), welche die Y.___ AG mit der Schweizerischen Mobiliar Versicherungsgesellschaft AG (nachfolgend:</w:t>
      </w:r>
    </w:p>
    <w:p>
      <w:r>
        <w:t>Mobiliar ) abgeschlossen hatte (Urk. 2/3 [Allgemeine Ve rsiche rungs bedingungen, AVB] und</w:t>
      </w:r>
    </w:p>
    <w:p>
      <w:r>
        <w:t>Urk. 2/4 [Police]).</w:t>
      </w:r>
    </w:p>
    <w:p>
      <w:r>
        <w:t>Vereinbart war bei einer Leis tungsdauer von 730 Tagen</w:t>
      </w:r>
    </w:p>
    <w:p>
      <w:r>
        <w:t>innert 900 Tagen abzüglich einer Wartefrist von 30</w:t>
      </w:r>
    </w:p>
    <w:p>
      <w:r>
        <w:t>Tagen</w:t>
      </w:r>
    </w:p>
    <w:p>
      <w:r>
        <w:t>je Arbeitsjahr ein Krankentaggeld von 80 %</w:t>
      </w:r>
    </w:p>
    <w:p>
      <w:r>
        <w:t>des versicherten Lohns (Urk. 2/4 S. 2 ).</w:t>
      </w:r>
    </w:p>
    <w:p>
      <w:r>
        <w:rPr>
          <w:b/>
        </w:rPr>
        <w:t>E. 1.1</w:t>
      </w:r>
    </w:p>
    <w:p>
      <w:r>
        <w:t>Das Sozialversicherungsgericht ist als einzige kantonale Gerichtsinstanz für Klagen über Streitigkeiten aus Zusatzversicherungen zur sozialen Krankenversi cherung nach dem Bundesgesetz über die Krankenver sicherung (KVG) zuständig (Art.</w:t>
      </w:r>
    </w:p>
    <w:p>
      <w:r>
        <w:rPr>
          <w:b/>
        </w:rPr>
        <w:t>E. 1.2</w:t>
      </w:r>
    </w:p>
    <w:p>
      <w:r>
        <w:t>Die für das Sozialversicherungsgericht verbindliche Regelung der örtlichen Zuständigkeit im Bereich der Zusatzversicherungen zur sozialen Krankenversi cherung findet sich in Art. 32 ZPO. Demnach ist bei Streitigkeiten aus Konsu mentenverträgen das Gericht am Wohnsitz oder Sitz einer der Parteien zuständig (Art. 32 Abs. 1 lit . a ZPO; vgl. Urs Feller/Jürg Bloch, in: Sutter- Somm / Hasenböh ler /Leuenberger, ZPO-Kommentar, Art. 32 N 45 ff.). Der Kläger hat te seinen Wohnsitz im Zeitpunkt der Klageeinreichung im Kanton Zürich , verlegte diesen während des Prozesses jedoch in den Kanton Graubünden ( Urk. 48 S. 7). Gemäss Art. 64 Abs. 1 lit . b ZPO bewirkt die Rechtshängigkeit, dass bei Wohnsitzverle gung im Laufe des Verfahrens die örtliche Zuständigkeit erhalten bleibt ( perpetuatio</w:t>
      </w:r>
    </w:p>
    <w:p>
      <w:r>
        <w:t>fori ; Urteil des Bundesgerichts 4A_595/2019 vom 1 8. Februar 2020 E. 2.4), womit die örtliche Zuständigkeit des Sozialversicherungsgerichts des Kantons Zürich (weiterhin) gegeben ist. 2.</w:t>
      </w:r>
    </w:p>
    <w:p>
      <w:r>
        <w:rPr>
          <w:b/>
        </w:rPr>
        <w:t>E. 2</w:t>
      </w:r>
    </w:p>
    <w:p>
      <w:r>
        <w:t>.2</w:t>
      </w:r>
    </w:p>
    <w:p>
      <w:r>
        <w:t>Mit Eingabe vom 1. Oktober 2021 orientierte der Kläger das Sozialversicherungs gericht darüber, dass am 23. September 2021 vor dem Regionalgericht Prättigau/ Davos das Beweisverfahren im von ihm gegen die Arbeitgeberin ( Y.___ AG) geführten arbeitsrechtlichen Prozes s stattgefunden habe. Das Proto koll dieser Verhandlung sei zu edieren und zu den Akten zu nehmen (Urk. 33). Mit Verfügung vom 6. Dezember 2021 setzte das Sozialversicherungs gericht den Parteien Frist an, um zur in Aussicht genommenen Sistierung des Verfahrens bis zum rechtskräftigen Abschluss des arbeitsrechtlichen Verfahrens Stellung zu nehmen; es stehe dem Kläger sodann frei, das besagte Protokoll zu den Akten zu reichen. Ausserdem wurde der Kläger aufgefordert, innert gleicher Fri st mitzu teilen, ob am Antrag auf Beiladun g der Y.___ AG festge halten werde und – bejahendenfalls – mit welche r Begründung (Urk. 34). Mit Ein gabe vom 11. Januar 2022 erklärte sich die Bekl agte mit der Sistierung des Ver fahrens einverstanden (Urk. 37). Innert mehrmals erstreckter Frist (vgl. Urk. 38 f.) reichte der Kläger als Beilage zu seiner Eingabe vom 18. Februar 2022 (Urk. 40) den Teil entscheid des Regionalgerichts Prättigau/Davos vom 23. September 2021 ein (Urk. 41). Er erklärte sich mit einer Sistierung des Ver fahrens bis zur Rechtskraft dieses Teil entscheids einverstanden, sofern er nicht weitergezogen werde. Des Weiteren hielt er am Antrag auf Beiladung der ehema ligen Arbeitgeberin fest (Urk. 40 S. 1 f.).</w:t>
      </w:r>
    </w:p>
    <w:p>
      <w:r>
        <w:t>Gemäss telefonischer Auskunft des Regionalgerichts Prättigau/Davos vom 23. März 2022 erwuchs der Teilentscheid vom 23. September 2021 unangefoch ten in Rechtskraft (vgl. Urk. 42). Darüber orientierte auch der Kläger das Sozial versicherungsgericht mit Eingabe vom 23. März 2022 und hielt fest, dass sich die Frage einer Sistierung des vorliegenden Verfahrens somit erübrige. Im Übrigen wurde nach wie vor um die Beiladung der ehemaligen Arbeitgeberin zum Ver fahren ersucht (Urk. 43). Mit Verfügung vom 21. April 2022 verzichtete das Sozialversicherungsgericht auf die in Aussicht genommene Sistierung des Verfahrens und wies den Antrag des Klägers auf Beiladung der Y.___ AG zum Prozess ab. Ferner wurde dem Kläger Frist angesetzt, um sich zur Frage der Weiterbehandlung seines Antrages auf Beiladung als einfache Streitverkün dung zu äussern. Ausserdem wurde den Parteien Frist angesetzt, um zum Teil entscheid des Regionalgerichts Prättigau/Davos vom 23. September 2021 Stellung zu nehmen (Urk. 44). Mit Eingaben vom 16. Mai 2022 (Urk. 48) und 2. Juni 2022 (Urk. 49) hielten die Parteien jeweils an ihren Rechtsbegehren fest. Der Kläger erklärte sich überdies einverstanden mit der einfachen Streitverkün dung und ersuchte das Gericht um Information der streitberufenen Person (Urk. 48 S. 1).</w:t>
      </w:r>
    </w:p>
    <w:p>
      <w:r>
        <w:t>Mit Verfügung vom 1 3. J uni 2022 wurde der</w:t>
      </w:r>
    </w:p>
    <w:p>
      <w:r>
        <w:t>Y.___ AG mitgeteilt, dass ihr der Kläger den Streit verkündet habe, und es wurde ihr Frist angesetzt, um Stellung zu nehmen, in welcher Form sie dem Prozessverfahren beitreten wolle ( Urk. 50). Mit Eingabe vom 1 8. Juli 2022 erklärte die Y.___ AG, dass sie am Prozess nicht aktiv teilnehmen werde; äusserte sich aber dennoch zur Sache ( Urk. 54). Darüber wurden die Parteien mit Verfügung vom 1 7. August 2022 in Kenntnis gesetzt. Zudem wurde davon Vormerk genommen, dass die streitberufene Y.___ AG nicht aktiv am Prozess teilnehmen und dieser ohne Rücksicht auf sie fortgesetzt werde ( Urk. 56). Das Gericht zieht in Erwägung: 1.</w:t>
      </w:r>
    </w:p>
    <w:p>
      <w:r>
        <w:rPr>
          <w:b/>
        </w:rPr>
        <w:t>E. 2.1</w:t>
      </w:r>
    </w:p>
    <w:p>
      <w:r>
        <w:t>mit Hinwei sen; vgl. auch BGE 142 V 448 E. 4.1). 11 .2 11 .2.1</w:t>
      </w:r>
    </w:p>
    <w:p>
      <w:r>
        <w:t>Der durch Rechtsanwältin Elisabeth Glättli vertretene Kläger beantragt die Zusprechung einer Parteient schädigung ( Urk. 1 S. 2, Urk.</w:t>
      </w:r>
    </w:p>
    <w:p>
      <w:r>
        <w:rPr>
          <w:b/>
        </w:rPr>
        <w:t>E. 2.2</w:t>
      </w:r>
    </w:p>
    <w:p>
      <w:r>
        <w:t>Gemäss Art.</w:t>
      </w:r>
    </w:p>
    <w:p>
      <w:r>
        <w:rPr>
          <w:b/>
        </w:rPr>
        <w:t>E. 2.3</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 BGE 148 III 105 E. 3.3.1 mit Hinweisen). 3. 3.1</w:t>
      </w:r>
    </w:p>
    <w:p>
      <w:r>
        <w:t>In der Klageeingabe vom 9. Oktober 2020 hatte der Kläger seine Forderung betreffend die Zeit vom 2 7. März bis Ende September 2020 unter ausdrücklichem Nachklagevorbehalt mit Fr. 40'175.60 zuzüglich Verzugszins seit jeweiliger Fälligkeit des Taggeldes beziffert ( Urk. 1 S. 2). Zuletzt erhöhte er seine Forderung betreffend die Zeit vom 2 7. März 2020 bis nunmehr Juli 2021 mit Eingabe vom 16. September 2021 auf insgesamt Fr. 101'828.05 zuzüglich Verzugszins seit jeweiliger Fälligkeit des Taggeldes ( Urk. 29). 3.2</w:t>
      </w:r>
    </w:p>
    <w:p>
      <w:r>
        <w:t>Eine Klageänderung (beziehungsweise Klageerweiterung) im ordentlichen Verfahren ist zulässig, sofern der geänderte Anspruch nach der gleichen Verfah rensart zu beurteilen ist und mit dem bisherigen Anspruch in einem sachlichen Zusammenhang steht (Art. 227 Abs. 1 lit . a ZPO).</w:t>
      </w:r>
    </w:p>
    <w:p>
      <w:r>
        <w:t>Art. 230 Abs. 1 ZPO sieht vor, dass eine Klageänderung in der Hauptverhandlung nur noch zulässig ist, wenn die Voraussetzungen nach Art. 227 Abs. 1 ZPO gegeben sind ( lit . a) und sie auf neuen Tatsachen oder Beweismitteln beruht ( lit . b). Das Gericht prüft von Amtes wegen, ob die K lageänderung zulässig ist, da es sich um eine besondere streitge genstandsbezogene Prozessvoraussetzung handelt (vgl. Art. 60 ZPO; Killias , in:</w:t>
      </w:r>
    </w:p>
    <w:p>
      <w:r>
        <w:t>Berner Kommentar, ZPO, Bd. II, Bern 2012, Art. 227 N 24 f.; Willisegger , in:</w:t>
      </w:r>
    </w:p>
    <w:p>
      <w:r>
        <w:t>Spühler / Tenchio /Infanger [Hrsg.], Basler Kommentar ZP O, 3. Aufl., Basel 2017, Art. 227 N 55).</w:t>
      </w:r>
    </w:p>
    <w:p>
      <w:r>
        <w:t>Vorliegend findet das vereinfachte Verfahren Anwendung (vgl. vorstehende E. 1.1), wobei sich die Zulässigkeit der Klageänderung grundsätzlich auch in</w:t>
      </w:r>
    </w:p>
    <w:p>
      <w:r>
        <w:t>diesem Verfahren nach dem Novenrecht richtet , sofern die übrigen Voraus setzungen nach Art. 227 Abs. 1 ZPO gegeben sind ( Killias , a.a.O. , Art. 247 N 47). Im konkreten Fall gilt der abgeschwächte Untersuchungsgrundsatz; das Gericht hat den Sachverhalt von Amtes wegen festzustellen (Art. 247 Abs. 2 lit . a in Verbindung mit Art. 243 Abs. 2 lit . f ZPO) und neue Tatsachen und Beweismittel bis zur Urteilsberatung zu berücksichtigen ( Art. 229 Abs. 3 ZPO; Urteil des Bundesgerichts 4A_642/2014 vom 2 9. April 2015 E. 3.6.1; Killias , a.a.O., Art. 247 N 44; Mazan , in: Spühler / Tenchio /Infanger [Hrsg.], Basler Kommentar ZPO, 3. Aufl., Basel 2017, Art. 247 N 23). Mithin hat das Erschwernis der Novenrechts schranken ( Art. 230 Abs.</w:t>
      </w:r>
    </w:p>
    <w:p>
      <w:r>
        <w:t>1 lit . b ZPO) keine Bedeutung; die Zulässigkeit der Änderung (beziehungsweise Erweiterung) des Rechtsschutzgesuches beurteilt sich allein nach Massgabe von Art. 227 ZPO (in Verbindung mit Art. 230 Abs. 1 lit . a ZPO; Urteil des Sozialversicherungsgerichts des Kantons Zürich KK.2014.00027 vom 1 5. Juli 2015 E. 3.7; Willisegger , a.a.O., Art. 230 N 19).</w:t>
      </w:r>
    </w:p>
    <w:p>
      <w:r>
        <w:t>Da hier der gesamte eingeklagte Betrag von zuletzt Fr. 101'828.05 zuzüglich Verzugszins auf der identischen Anspruchsgrundlage, nämlich de r</w:t>
      </w:r>
    </w:p>
    <w:p>
      <w:r>
        <w:t>Kollektiven Krankenversicherung , beruht (vgl. Urteil des Bundesgerichts 4A_255/2015 vom 1. Oktober 2015 E. 2.2.3) und streitwertunabhängig das vereinfachte Verfahren zum Zuge kommt, sind die Voraussetzung en zur Klageänderung beziehungsweise -erweiterung fraglos erfüllt, was im Übrigen auch unbestritten geblieben ist. 4 . 4 .1</w:t>
      </w:r>
    </w:p>
    <w:p>
      <w:r>
        <w:t>Strittig ist , ob die Beklagte dem Kläger auch über den 2 6. März 2020 hinaus Krankentaggelder auszurichten hat . Zur Begründung dieses Anspruchs führte der Kläger in der Klageschrift vom 9. Oktober 2020 im Wesentlichen an, am 1. Dezember 2019 eine Stelle als Direktionsassistent bei der Y.___ AG angetreten zu haben. Im Verlauf seien ihm weitere Befugnisse übertragen worden , jedoch nicht solche eines Geschäftsführers beziehungsweise Direktors ( Urk. 1 S.</w:t>
      </w:r>
    </w:p>
    <w:p>
      <w:r>
        <w:t>4 f.). Am 2 5. Januar 2020 habe er das Arbeitsverhältnis per 3 0. April 2020 gekündigt ; seit dem 2 7. Januar 2020 sei er arbeitsunfähig ( Urk. 1 S. 7). Die Beklagte habe ihm nach Ablauf der Wartefrist von 30 Tagen lediglich für den Zeitraum vom 2 6. Februar bis 2 6. März 2020 Krankentaggeld er ausgerichtet ( Urk. 1 S. 8 f.). Entgegen ihrer Auffassung treffe es nicht zu, dass er sich zum Zeitpunkt des Eintritts der Arbeitsunfähigkeit noch in der Probezeit befunden habe, weshalb die Leistungsdauer nicht gestützt auf die AVB ( lit . O Ziff. 6) auf 30</w:t>
      </w:r>
    </w:p>
    <w:p>
      <w:r>
        <w:t>Tage beschränkt sei. Im anwendbaren Landes-Gesamtarbeitsvertrag des Gastge werbes (L-GAV) sei ohnehin keine solche Einschränkung vorgesehen. Insgesamt bestehe daher Anspruch auf ein uneingeschränktes Taggeld gemäss der verein barten Leistungsdauer von 730 Tagen ( Urk. 1 S. 10 f.). 4 .2</w:t>
      </w:r>
    </w:p>
    <w:p>
      <w:r>
        <w:t>In ihrer Klageantwort vom 1 1. Dezember 2020 bestritt die Beklagte ihre Leistungspflicht vollumfänglich, wobei sie zusammengefasst festhielt, dass der Kläger als Direktor und somit als leitender Angestellter bei der Y.___ AG tätig gewesen sei ( Urk.</w:t>
      </w:r>
    </w:p>
    <w:p>
      <w:r>
        <w:rPr>
          <w:b/>
        </w:rPr>
        <w:t>E. 7</w:t>
      </w:r>
    </w:p>
    <w:p>
      <w:r>
        <w:t>der Schweizerischen Zivilprozessor dnung [ZPO] in Verbindung mit § 2 Abs. 2 lit . b des Gesetzes über das Sozialversicherungsge richt [ GSVGer ] ;</w:t>
      </w:r>
    </w:p>
    <w:p>
      <w:r>
        <w:t>BGE 138 III 2 E. 1.2.2), ohne dass vorgängig ein Schlichtungsverfahren durchz uführen ist (BGE 138 III 558 E. 4). Das Verfahren richtet sich nach der ZPO, wobei das vereinfachte Verfah ren zur Anwendung gelangt (Art. 243 Abs. 2 lit . f ZPO) .</w:t>
      </w:r>
    </w:p>
    <w:p>
      <w:r>
        <w:rPr>
          <w:b/>
        </w:rPr>
        <w:t>E. 7.1</w:t>
      </w:r>
    </w:p>
    <w:p>
      <w:r>
        <w:t>In einem nächsten Schritt ist zu prüfen, wie es sich mit der Arbeitsunfähigkeit des Klägers verhält. Dieser behauptet, vom 2 7. Januar 2020 bis 3 0. April 2021 zu 100 % , vom 1. Mai bis 3 0. Juni 2021 zu 60 % und im Juli 2021 noch zu 50 % arbeitsunfähig gewesen zu sein ( Urk. 29). Als Beweis offeriert er in diesem Zusammenhang mehrere ärztliche Zeugnisse ( Urk. 2/15, 2/16/1-7, 15/24/1a, 15/24/2a, 15/24/3a, 15/24/4a, 20/25 und 30/26). Die Beklagte bestreitet das Vorliegen einer Arbeitsunfähigkeit jedenfalls für die Zeit ab 2 7. März 2020 (vgl. Urk. 10 S. 9</w:t>
      </w:r>
    </w:p>
    <w:p>
      <w:r>
        <w:t>Ziff. 35-37 , Urk. 23 S. 3 f. sowie S. 9</w:t>
      </w:r>
    </w:p>
    <w:p>
      <w:r>
        <w:t>Ziff. 41 und 44 ) . Nach Ablauf der vertraglich vereinbarten Wartefrist hatte sie dem Kläger vom 2 6. Februar bis 2 6. März 2020 ausgehend von einer 100%igen Arbeitsunfähigkeit insgesamt 30 Taggelder ausgerichtet ( Urk. 2/17/5).</w:t>
      </w:r>
    </w:p>
    <w:p>
      <w:r>
        <w:rPr>
          <w:b/>
        </w:rPr>
        <w:t>E. 7.2.1</w:t>
      </w:r>
    </w:p>
    <w:p>
      <w:r>
        <w:t>Es obliegt der versicherten Person zu beweisen, dass sie (weiterhin) arbeitsun fähig ist und daher Anspruch auf Taggelder hat, wenn die Versicherung zu nächst Tag gelder ausbezahlt hat und sodann geltend macht, die Umstände hätten sich geändert oder die Leistungen seien von vornherein zu Unrecht erbracht worden und die versicherte Person sei (wieder) arbeitsfähig (BGE 141 III 241 E. 3.1 ; vgl. auch vorstehende E. 2.2 ).</w:t>
      </w:r>
    </w:p>
    <w:p>
      <w:r>
        <w:rPr>
          <w:b/>
        </w:rPr>
        <w:t>E. 7.2.2</w:t>
      </w:r>
    </w:p>
    <w:p>
      <w:r>
        <w:t>Das Arztzeugnis wird beweisrechtlich den Zeugnisurkunden, denen im Beweis verfahren mit einer gewissen Zurückhaltung zu begegnen ist, zugeordnet und gilt im Bereich des Zivilprozessrechts gemäss der Rechtsprechung des Bundesgerichts als Privatgutachten, welche als Bestandteil der Parteivorbringen und nicht als eigentliche Beweismittel gelten (BGE 141 III 433 E. 2.5.2; 140 III 24 E. 3.3.3; 140 III 16 E. 2.5).</w:t>
      </w:r>
    </w:p>
    <w:p>
      <w:r>
        <w:t>Nach der Lehre beweisen Arztzeugnisse grundsätzlich nur, dass die Erklärung von der ausstellenden Person abgegeben wurde. Aufgrund des Fachwissens der aus stellenden Person sowie der strafrechtlichen Sanktion (Art. 318 des Schweizeri schen Strafgesetzbuches, StGB) kann zunächst von der Richtigkeit eines Arzt zeugnisses ausgegangen werden. Der Beweiswert kann jedoch durch irgendwel che Beweismittel und Umstände erschüttert werden, wenn beispiels weise der Arzt den Patienten nicht untersucht und ausschliesslich auf dessen Aussagen abgestellt hat ober bei widersprüchlichem Verhalten des Patienten während bescheinigter Arbeitsunfähigkeit. Solchenfalls hat der Beweisführer bei unverän derter Beweislast den vollen Beweis für die mit dem Arztzeugnis be scheinigten Tatsachen zu erbringen (Heinrich Andreas Müller, in: Schweizerische Zivilpro zessordnung, ZPO, Komme ntar, Brunner/Gasser/Schwander [ Hrsg .] , 2. Auflage, Zürich 2016, Art. 177 Rz 9; Annette Dolge in: Basler Kommentar zur Schweizerischen Zivilprozessordnung, 3. Aufl., Basel 2017, Art. 177 Rz 13). Für eine behauptete Arbeitsunfähigkeit im Zusammenhang mit dem Eintritt des Versicherungsfalls gilt das ordentliche Beweismass. Demnach ist der Beweis erbracht, wenn das Gericht nach objektiven Gesichtspunkten von der Richtigkeit einer Sachbehauptung überzeugt ist (BGE 148 III 105 E. 3.3.1, Urteil des Bundes gerichts 4A_172/2022 vom 31. August 2022 E. 2.5).</w:t>
      </w:r>
    </w:p>
    <w:p>
      <w:r>
        <w:rPr>
          <w:b/>
        </w:rPr>
        <w:t>E. 7.2.3</w:t>
      </w:r>
    </w:p>
    <w:p>
      <w:r>
        <w:t>Mit Blick auf die aktuelle bundesgerichtliche Praxis ist es nicht ausgeschlossen , den Nachweis der Arbeitsunfähigkeit einzig gestützt auf Arztzeugnis se zu erbringen (vgl. Urteil des Bundesgerichts 4A_439/2021 vom 25. Januar 2022 E . 5.2 mit Hinweis). Vorliegend bestätigen die mehrheitlich von Dr. med. A.___ , Fachärztin für Allgemeine Innere Medizin, sowie von Medizinern der Klinik B.___</w:t>
      </w:r>
    </w:p>
    <w:p>
      <w:r>
        <w:t>ausgestellten ärztlichen Zeugnisse die vom Kläger behauptete krankheits bedingte Arbeitsunfähigkeit im Zeitraum vom 27. Januar 2020 bis 31.</w:t>
      </w:r>
    </w:p>
    <w:p>
      <w:r>
        <w:t>Juli 2021 und im behaupteten Ausmass vollumfänglich ( Urk. 2/15, 2/16/1-7, 15/24/1a, 15/24/2a, 15/24/3a, 15/24/4a, 20/25 und 30/26).</w:t>
      </w:r>
    </w:p>
    <w:p>
      <w:r>
        <w:t>Soweit die Beklagte das Vorlie gen einer Arbeits unfähigkeit bestreitet, erweist sich ihr Vorbringen zwar entgegen der Auffassung des Klägers nicht von vornherein als «gegenstandslos», selbst wenn die Beklagte bis zur Klageerhebung sämtliche Arztzeugnisse erhalten, die Arbeitsunfähigkeit nie bestritten und auch keine Arztberichte angefordert habe sollte (vgl. Urk.</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 nichtenden oder rechtshindernden Tatsachen bei der Partei liegt, die den Unter gang des Anspruchs behauptet oder dessen Entstehung oder Durchsetzbarkeit bestreitet. Diese Grundregel kann durch abweichende gesetzliche Beweislastvor schriften verdrängt werden und ist im Einzelfall zu kon kretisieren (BGE 128 III 271 E. 2a/ aa ). Sie gilt auch im Bereich des Versicherungsvertrags. Nach dieser Grundregel hat der Anspruchsberechtigte - in der Regel der Versicherungsneh mer, der versicherte Dritte oder der Begünstigte - die Tatsachen zur «Begründung des Versicherungs anspruches» (Marginalie zu Art. 39 VVG) zu beweisen, also namentlich das Bestehen eines Versicherungsvertrags, den Eintritt des Versiche rungsfalls und den Umfang des Anspruchs. Den Versicherer trifft die Beweislast für Tatsachen, die ihn zu einer Kürzung oder Verweigerung der vertraglichen Leistung berechtigen ( beispielsweise wegen schuldhafter Herbeiführung des befürchteten Ereignisses: Art. 14 VVG) oder die den Versicherungsvertrag gegen über dem Anspruchsberechtigten unverbindlich machen (z.B. wegen betrügerischer Begründung de s Versicherungsanspruches: Art. 40 VVG). Anspruchsberechtigter und Versicherer haben im Streit um vertragliche Leistungen je ihr eigenes Beweisthema und hierfür je den Hauptbeweis zu erbrin gen ( BGE 148 III 105 E. 3.1 , 130 III 321 E. 3.1).</w:t>
      </w:r>
    </w:p>
    <w:p>
      <w:r>
        <w:rPr>
          <w:b/>
        </w:rPr>
        <w:t>E. 8.1</w:t>
      </w:r>
    </w:p>
    <w:p>
      <w:r>
        <w:t>Die Beklagte bestreitet eine über den 2 6. März 2020 hinausgehende Leistungs pflicht des Weiteren unter Berufung auf Art. 9 VVG ( Rückwärtsversicherungs verbot; Urk. 10 S. 7 und S. 9 f. , Urk. 23 S. 3 ).</w:t>
      </w:r>
    </w:p>
    <w:p>
      <w:r>
        <w:rPr>
          <w:b/>
        </w:rPr>
        <w:t>E. 8.2</w:t>
      </w:r>
    </w:p>
    <w:p>
      <w:r>
        <w:t>Gemäss Art. 9 VVG ist ein Versicherungsvertrag unter anderem dann nichtig, wenn bei Vertragsschluss das befürchtete Ereignis bereits eingetreten ist. Das befürchtete Ereignis stellt den Versicherungsfall dar und definiert sich als Verwirklichung der Gefahr, gegen welche die Versicherung abgeschlossen worden ist (BGE 142 III 671 E. 3.6, 129 III 510 E. 3.2). Diese Gefahr muss sich auf ein künftiges Ereignis beziehen; ist dieses bereits eingetreten, ist eine künftige Verwirklichung der Gefahr nicht möglich. Eine sogenannte Rückwärtsversi cherung, bei welcher der Versicherer die Deckung für ein bereits vor Vertrags schluss eingetretenes Ereignis übernimmt, ist unzulässig, unabhängig davon, ob der entsprechende Schaden vor oder nach Vertragsschluss eintritt. Ob die Vertragsparteien vom Eintritt des Ereignisses bei Vertragsschluss Kenntnis hatten, ist grundsätzlich unerheblich (BGE 127 III 21 E. 2b/ aa ). Das versicherte Risiko kann nicht losgelöst vom konkreten Versicherungsvertrag bestimmt werden. Vielmehr muss zunächst durch Auslegung des konkreten Versicherungsvertrages ermittelt werden, was das versicherte Risiko darstellt (BGE 142 III 671 E. 3.9 ). Erst danach ist zu prüfen, ob dieses Risiko beziehungsweise das befürchtete Ereignis bei Vertragsschluss bereits eingetreten war und der Versicherungsvertrag daher gemäss Art. 9 VVG nichtig ist ( Urteil des Bundesgerichts 4A_631/2016 vom 2 1. April 2017 E. 2.2). Als Versicherungsfall in der Krankentaggeldversicherung als Versicherungstypus gilt die (krankheitsbedingte) Arbeitsunfähigkeit (BGE 142 III 671 E. 3.6; vgl. zum Ganzen Urteil des Bundesgerichts 4A_ 142/2021 vom 22. Juni 2021 E. 3.1).</w:t>
      </w:r>
    </w:p>
    <w:p>
      <w:r>
        <w:rPr>
          <w:b/>
        </w:rPr>
        <w:t>E. 8.3</w:t>
      </w:r>
    </w:p>
    <w:p>
      <w:r>
        <w:t>Dem vorliegenden V ersicherungsvertrag</w:t>
      </w:r>
    </w:p>
    <w:p>
      <w:r>
        <w:t>beziehungsweise den zugehörigen AVB ist zu entnehmen , dass der Versicherungsschutz für die einzelne versicherte Person an dem Tag beginnt, an dem das Arbeitsverhältnis beginnt oder erstmals ein Lohnanspruch besteht, frühestens jedoch mit dem in der Police festgelegten Datum. Für Personen, die zu diesem Zeitpunkt nicht voll arbeitsfähig sind, beginnt der Versicherungsschutz erst mit der vollen vertraglich vereinbarten Arbeitsaufnahme ( lit . K Ziff. 1 AVB). Unter dem Titel «Leistungen bei vorbestan denen Krankheiten und Gebrechen» wird zudem insbesondere festgehalten, dass vorbehältlich abweichender Vereinbarungen , welche hier weder ersichtlich noch dargetan sind</w:t>
      </w:r>
    </w:p>
    <w:p>
      <w:r>
        <w:t>die Leistungen auch für Krankheiten erbracht werden, die bei Beginn des Versicherungsschutzes bereits bestanden haben, falls die Aufnahme in die Versicherung ohne vorgängige Gesundheitsprüfung erfolgt ist ( lit . O Ziff. 3 AVB) , was hier gemäss Darstellung des Klägers ( Urk.</w:t>
      </w:r>
    </w:p>
    <w:p>
      <w:r>
        <w:rPr>
          <w:b/>
        </w:rPr>
        <w:t>E. 10</w:t>
      </w:r>
    </w:p>
    <w:p>
      <w:r>
        <w:t>S. 7 und 9). 4 .3</w:t>
      </w:r>
    </w:p>
    <w:p>
      <w:r>
        <w:t>Mit Replik vom 1 1. Februar 2021 bekräftigte der Kläger insbesondere seinen Standpunkt, keine leitende Position ausgeübt zu haben und daher dem L-GAV unterstellt gewesen zu sein ( Urk.</w:t>
      </w:r>
    </w:p>
    <w:p>
      <w:r>
        <w:rPr>
          <w:b/>
        </w:rPr>
        <w:t>E. 14</w:t>
      </w:r>
    </w:p>
    <w:p>
      <w:r>
        <w:t>S. 2). Diese umfasst den Ersatz der notwendigen Auslagen, die Kosten einer berufsmässigen Vertre tung sowie in begründeten Fällen eine angemessene Umtriebsentschädigung ,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Dasselbe gilt für die Verordnung über die Anwaltsgebühren.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 GebV</w:t>
      </w:r>
    </w:p>
    <w:p>
      <w:r>
        <w:t>SVGer ). Gemäss § 34 Abs. 3 GSVGer ist die Höhe der gerichtlich festzusetzenden Entschä digung nach der Bedeutung der Streitsache, der Schwierigkeit des Prozesses und dem Mass des Obsiegens, jedoch ohne Rücksicht auf den Streitwert festzusetzen. 11 .2.2</w:t>
      </w:r>
    </w:p>
    <w:p>
      <w:r>
        <w:t>Mit Honorarnote vom 1 5. September 2021 machte Rechtsanwältin Glättli einen Aufwand von insgesamt 19.5 Stunden für den Zeitraum vom 6. Oktober 2020 bis 1 5. September 2021 sowie pauschale Kleinspesen von 3 % geltend ( Urk. 31). Dieser erweist sich insbesondere mit Blick auf die Bedeutung der Streitsache sowie die Schwierigkeit des Prozesses als angemessen. Darüber hinaus ist der nach dem 1 5. September 2021 namentlich im Zusammenhang mit de r Stellungnahme zum Teilentscheid des Regionalgerichts Prättigau/Davos entstandene Aufwand zu berücksichtigen ( Urk. 48) , wobei dieser mangels einer Leistungsübersicht ermes sensweise auf zwei Stunden festzusetzen ist. Ausgehend von einem Aufwand von insgesamt 21.5 Stunden und dem gerichtsüblichen Stundenansatz von Fr. 220.-- ist die von der Beklagten an den obsiegenden Kläger zu zahlende Prozessentschä digung auf Fr. 5'247.-- festzulegen ( Fr. 4'730.-- plus Fr. 141.90 [3 % Spesenpau schale] zuzüglich 7.7 % Mehrwertsteuer). 12.</w:t>
      </w:r>
    </w:p>
    <w:p>
      <w:r>
        <w:t>Obschon die streitberufene Partei auf eine Mitwirkung am Prozess verzichtet hat ( Urk. 54) , ist ihr der vorliegende Entscheid zu eröffnen.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