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KK.2019.00051 vom 2. November 2020</w:t>
      </w:r>
    </w:p>
    <w:p>
      <w:r>
        <w:t>ZH Sozialversicherungsgericht, 2020-11-02, DE</w:t>
      </w:r>
    </w:p>
    <w:p>
      <w:r>
        <w:rPr>
          <w:b/>
        </w:rPr>
        <w:t xml:space="preserve">Quelle: </w:t>
      </w:r>
      <w:r>
        <w:t>https://mcp.opencaselaw.ch/entscheid/zh_sozialversicherungsgericht_KK.2019.00051</w:t>
      </w:r>
    </w:p>
    <w:p>
      <w:r>
        <w:t>FR: ZH_SOZIALVERSICHERUNGSGERICHT KK.2019.00051 du 2 novembre 2020</w:t>
      </w:r>
    </w:p>
    <w:p>
      <w:r>
        <w:t>IT: ZH_SOZIALVERSICHERUNGSGERICHT KK.2019.00051 del 2 novembre 2020</w:t>
      </w:r>
    </w:p>
    <w:p>
      <w:pPr>
        <w:pStyle w:val="Heading2"/>
      </w:pPr>
      <w:r>
        <w:t>Erwägungen</w:t>
      </w:r>
    </w:p>
    <w:p>
      <w:r>
        <w:rPr>
          <w:b/>
        </w:rPr>
        <w:t>E. 1</w:t>
      </w:r>
    </w:p>
    <w:p>
      <w:r>
        <w:t>S. 2; Urk. 2/5 -8). Daneben tätigte sie verschiedene Abklärungen (etwa Urk. 10 /2/K12, 10 /2/K13, 10 /2/K15 und 10 /5/M1-15). Insbesondere liess sie X.___ im Zeitraum vom 1 4. Juli bis 1 5. September 2016 an mehreren Tagen observieren ( Urk. 10 /3). Mit Schreiben vom 4. Oktober 2016 teilte sie ihm alsdann mit, ihn rückwirkend per 1. April 2016 aus dem versicherten Personenkreis aus zuschliessen; es würden folglich keine weiteren Taggelder mehr ausbezahlt und die bereits geleisteten Taggelder von Fr. 40'054.40 sowie die «Schadenausmitt lungskosten» von Fr. 23'238.20 von ihm zurückgefordert ( Urk. 2/34 und 10 /2/K20). Im Übrigen erklärte sie mit Schreiben vom 1 2. Februar 2018 bis 1. April 2020 auf die Erhebung der Einrede der Verjährung für zum damaligen Zeitpunkt noch nicht verjährte Ansprüche zu verzichten ( Urk. 10 /2/31).</w:t>
      </w:r>
    </w:p>
    <w:p>
      <w:r>
        <w:rPr>
          <w:b/>
        </w:rPr>
        <w:t>E. 1.1</w:t>
      </w:r>
    </w:p>
    <w:p>
      <w:r>
        <w:t>und 1.2 ).</w:t>
      </w:r>
    </w:p>
    <w:p>
      <w:r>
        <w:t>Unabhängig davon, ob schon</w:t>
      </w:r>
    </w:p>
    <w:p>
      <w:r>
        <w:t>der Ausbruch der Krankheit oder erst der Eintritt der dadurch bedingten Arbeitsunfähigkeit (wofür etwa Art. K.1 und N.3 AV B sprechen) als befürchtetes Ereignis gilt, verwirklichte sich dieses somit , bevor der Abschluss des Versicherungsvertrages mit Zustellung der am 8. April 2016 aus gestellten Police an die Arbeitgeberin erfolgte. E s liegt daher eine unzulässige Rückwärtsversicherung und damit zumindest eine Teilnichtigkeit des V ertrages bezüglich der am 1. April 2016 beim Kläger eingetretene n Arbeitsunfähigkeit vor (vgl. auch obgenanntes Bundegerichtsurteil 8C_324/2007 E. 4.2.1) .</w:t>
      </w:r>
    </w:p>
    <w:p>
      <w:r>
        <w:t>4.2</w:t>
      </w:r>
    </w:p>
    <w:p>
      <w:r>
        <w:t>Daran vermag entgegen der Auffassung des Klägers der Umstand nichts zu ändern, dass in den Offerten und Policen als Vertragsbegi nn rückwirkend der 29. Februar 2016 respektive 1. April 2016 festgelegt wurde. Der Vertragsbeginn beschlägt die Frage des Eintritts der Vertragswirkungen und nicht den Abschluss des Vertrages an sich. Ist ein Vertragsverhältnis im Hinblick auf ein konkretes Ereignis als nicht gültig zustande gekommen zu beurteilen, so kann es – jeden falls bezogen auf diesen Vorfall – auch keine Wirkungen mehr entfalten. So äus sern sich auch</w:t>
      </w:r>
    </w:p>
    <w:p>
      <w:r>
        <w:t>die Art. B.2 („Der Versicherungsvertrag beginnt und endet an den in der Police genannten Daten.“) und K.1 ( „Der Versicherungsschutz beginn t für die einzelne versicherte Person mit dem Tag der tatsächlichen Arbeitsaufnahme beim Versicherungsnehmer, frühestens jedoch mit dem in der Police festgelegten Datum . “) letztlich nur zu den Wirkungen des – zustande gekommenen – Vertra ges, nicht aber zu dessen Abschluss selbst (vgl. ob genanntes Bundesgerichtsurteil 8C_324/2007 E. 3.2.1 zu einem vergleichbaren Fall im Bereich der Unfallversi cherung ; Urteil des Sozialversicherungsgerichts des Kantons Zürich KK.2016.00066 vom 2 3. März 2018 E.</w:t>
      </w:r>
    </w:p>
    <w:p>
      <w:r>
        <w:rPr>
          <w:b/>
        </w:rPr>
        <w:t>E. 1.2</w:t>
      </w:r>
    </w:p>
    <w:p>
      <w:r>
        <w:t>Das Gericht stellt den Sachverhalt von Amtes wegen fest ( Art. 247 Abs. 2 lit . a ZPO). Nach dem Willen des Gesetzgebers ist das Gericht im Rahmen der sozialen Untersuchungsmaxime gemäss Art. 247 Abs. 2 lit . a ZPO allerdings nur einer erhöhten Fragepflicht unterworfen (vgl. Art. 247 Abs. 1 ZPO).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 treten, kann und muss sich das Gericht ihr gegenüber wie bei Geltung der Ver handlungsmaxime zurückhalten (vgl. Urteil des Bundesgerichts 4A_702/2016 vom 2 3. März 2017 E. 3.1 mit Hinweis auf BGE 141 III 569 E. 2.3.1 bis 2.3.3 und die dortigen Verweise).</w:t>
      </w:r>
    </w:p>
    <w:p>
      <w:r>
        <w:rPr>
          <w:b/>
        </w:rPr>
        <w:t>E. 1.3</w:t>
      </w:r>
    </w:p>
    <w:p>
      <w:r>
        <w:t>Da nach Abschluss des Schriftenwechsels ( Urk. 21) keine der je durch einen (externen) Rechtsanwalt vertretenen Parteien die Durchführung einer mündlichen Verhandlung beantragt hat, ist nach der bundesgerichtlichen Rechtsprechung sodann von einem konkludenten Verzicht darauf auszugehen (Urteil des Bundes gerichts 4A _680/2014 vom 2 9. April 2015 E. 3.4). 2.</w:t>
      </w:r>
    </w:p>
    <w:p>
      <w:r>
        <w:rPr>
          <w:b/>
        </w:rPr>
        <w:t>E. 2</w:t>
      </w:r>
    </w:p>
    <w:p>
      <w:r>
        <w:t>Mit Eingabe vom 5. Dezember 2019 erhob der Versicherte, vertreten durch Rechtsanwalt Baumann, Klage gegen die Mobiliar ( Urk. 1; Beilagen Urk. 2/2-35). Darin beantragte er, die Beklagte sei zu verpflichten, ihm für den Zeitraum vom 1 3. August 2016 bis 3 1. März 2018 Taggelder in der Höhe von Fr. 200'983.65 zuzüglich 5 % Zins zu bezahlen; alles unter Kosten- und Entschädigungsfolgen zu Lasten der Beklagten ( Urk. 1 S. 2). Mit Verfügung vom 1 1. Dezember 2019 wurde der Beklagten eine Frist von 30 Tagen zur Einreichung einer Klageantwort angesetzt ( Urk. 4). Diese wurde innert erstreckter Frist ( Urk. 8) mit Eingabe vom 1 0. Februar 2020 erstattet mit dem Antrag, die Klage sei abzuweisen; unter Kos ten- und Entschädigungsfolgen zu Lasten des Klägers ( Urk. 9). Am 1 2. Februar 2020 ordnete das Gericht einen zweiten Schriftenwechsel an ( Urk. 11). In der innert erstreckter Frist ( Urk. 12, 14 und 19) eingereichten Replik vom 2. Juni 2020 ( Urk. 15) respektive Duplik vom 2. September 2020 ( Urk. 20) hielten die Parteien an ihren Anträgen fest. Die Duplik wurde dem Kläger mit Verfügung vom 7. Sep tember 2020 zur Kenntnis gebracht ( Urk. 21). Die mit Schreiben vom 7. Oktober 2020 eingereichte Kostennote der Beklagten ( Urk. 22 und 23) wurde dem Kläger am 4. November 2020 zur Kenntnis gebracht ( Urk. 24). Das Gericht zieht in Erwägung: 1.</w:t>
      </w:r>
    </w:p>
    <w:p>
      <w:r>
        <w:rPr>
          <w:b/>
        </w:rPr>
        <w:t>E. 2.1</w:t>
      </w:r>
    </w:p>
    <w:p>
      <w:r>
        <w:t>Strittig und zu prüfen ist, ob die Beklagt e dem Kläger Krankentaggelder von ins gesamt Fr. 200‘983.65 nebst 5 % Zins zu bezahlen hat, nämlich 19 Tage à Fr. 305.45 (Arbeitsunfähigkeit 90 % ) vom 13. bis 3 1. August 2016 und 577 Tage à Fr. 338.30 (Arbeitsunfähigkeit 100 % ) vom 1. Sept ember 2016 bis 3 1. März 2018 ( Urk. 1 Rechtsbegehren und S. 5 f.).</w:t>
      </w:r>
    </w:p>
    <w:p>
      <w:r>
        <w:rPr>
          <w:b/>
        </w:rPr>
        <w:t>E. 2.2</w:t>
      </w:r>
    </w:p>
    <w:p>
      <w:r>
        <w:t>Der Kläger beantragte im Wesentlichen die Befragung seiner Ärzte sowie ein psy chiatrisches Gutachten zum Beweis, dass er im behaupteten Ausmass arbeitsun fähig war ( Urk. 1 S. 3 f.). Die Beklagte machte vorab geltend, es liege eine unzu lässige Rückwärtsversicherung nach Art.</w:t>
      </w:r>
    </w:p>
    <w:p>
      <w:r>
        <w:rPr>
          <w:b/>
        </w:rPr>
        <w:t>E. 2.3</w:t>
      </w:r>
    </w:p>
    <w:p>
      <w:r>
        <w:t>Des Weiteren brachte die Beklagte vor, Dr. B.___ habe am 24. Mai 2016 berichtet, der Kläger arbeite zu 50 % , worauf dieser observiert und dabei beo bachtet worden sei, wie er mehrere Stunden in seinen Hotels verbracht, mit Freunden gefeiert und ein Geschäftsessen sowie einen Geschäftstermin bei der Gastrosocial wahrgenommen habe wie auch längere Strecken selbst Auto gefah ren sei. Dies stehe im Widerspruch zu seinen Angaben und begründe einen Fall nach Art. 40 VVG ( Urk.</w:t>
      </w:r>
    </w:p>
    <w:p>
      <w:r>
        <w:rPr>
          <w:b/>
        </w:rPr>
        <w:t>E. 2.4</w:t>
      </w:r>
    </w:p>
    <w:p>
      <w:r>
        <w:t>Die Beklagte ergänzte, dass die Arbeitsunfähigkeit überdies auch unzureichend substantiiert sei. So datiere der letzte Bericht von Dr. B.___ vom 4. Oktober 2016 ( Urk.</w:t>
      </w:r>
    </w:p>
    <w:p>
      <w:r>
        <w:rPr>
          <w:b/>
        </w:rPr>
        <w:t>E. 2.6</w:t>
      </w:r>
    </w:p>
    <w:p>
      <w:r>
        <w:t>) . 5. 5.1</w:t>
      </w:r>
    </w:p>
    <w:p>
      <w:r>
        <w:t>Gemäss der bundesgerichtlichen Rechtsprechung ist bei dieser Sachlage zu prü fen, ob der Versicherer aus der zwischen Vertrag und Delikt angesiedelten Ver trauenshaftung schadenersatzpflichtig wird. Im Vordergrund steht hierbei die Haftung aus „culpa in contrahendo “ , die bei Verletzung von Neben- oder Verhal tenspflichten der Vertragsparteien (z.B. Haftung für Rat und Auskunft) aus Grün den der Praktikabilität im Vertragsnexus zu belassen ist (vgl. dazu Urteil des Bun desgerichts 5C.45/2004 vom 9. Juli 2004 E. 2.2). 5.2</w:t>
      </w:r>
    </w:p>
    <w:p>
      <w:r>
        <w:t>Ob das Verhalten der Beklagten im Rahmen der Vertragsverhandlungen mit der Arbeitgeberin des Klägers (vertreten durch Z.___ bzw. den Kläger) als treu widrig zu bezeichnen ist, weil der Vertragsbeginn rückwirkend festgelegt wurde , ohne dass Anhaltspunkte dafür bestehen, dass sich die beiden Vertreter der Arbeitgeberin des Rückwärtsversicherungsverbots bewusst respektive von der Beklagten hierüber aufgeklärt worden waren, kann offe n bleiben .</w:t>
      </w:r>
    </w:p>
    <w:p>
      <w:r>
        <w:t>Zum einen unterscheidet sich die vorliegende Konstellation wesentlich von den jenigen in den bundesgerichtlichen Urteilen 8C_324/2007 vom 1 2. Februar 2008 und 5C.45/2004 vom 9. Juli 2004 , in welchen das Bundesgericht ein treuwidriges Verhalten bejahte: So hat der Kläger weder behauptet noch ist sonst</w:t>
      </w:r>
    </w:p>
    <w:p>
      <w:r>
        <w:t>wie aus den Akten ersichtlich, dass die Beklagte vor der Krankmeldung vom 23. Ma i 2016, insbesondere vor Vertragsabschluss, über die seit 1. April 2016 bestehende Arbeitsunfähigkeit des Klägers informiert wurde. Das Ausnützen eines solchen Wissensvorsprungs schliesst ein «schutzwürd i ges» Vertrauen aus und wird auch künftig nach Inkrafttreten der Änderung des VVG vom 1 9. Juni 2020 vom Gesetz nicht geschützt. So wird</w:t>
      </w:r>
    </w:p>
    <w:p>
      <w:r>
        <w:t>Art. 10 Abs. 1 des geänderten</w:t>
      </w:r>
    </w:p>
    <w:p>
      <w:r>
        <w:t>VVG zwar vor ge sehen , dass die Wirkungen des Vertrages auf einen Zeitpunkt vor dessen Abschluss zurückbezogen werden können, sofern ein versicherbares Interesse besteht. Nach Abs. 2 der genannten Bestimmung wird eine Rückwärtsversicherung aber weiter hin nichtig sein , wenn lediglich der Versicherung snehmer oder der Versicherte wu sste oder wissen musste, dass ein befürchtetes Ereignis b ereits eingetreten ist. Gemäss der Botschaft zur Änderung de s VVG vom 2 8. Juni 2017 ergäbe sich diese Regel schon aus dem Grundsatz von Treu und Glauben, wurde aber der Klarheit</w:t>
      </w:r>
    </w:p>
    <w:p>
      <w:r>
        <w:t>halber explizit geregelt (vgl. BBl 2017 S. 5114).</w:t>
      </w:r>
    </w:p>
    <w:p>
      <w:r>
        <w:t>Zum anderen müsste zur Bejahung eines enttäuschten Vertrauens als Haftungs grundlage das widerrechtliche Verhalten der Beklagten kausal für den b eim Klä ger eingetretenen Schaden sein . Es scheint indessen unwahrscheinlich, dass die Arbeitgeberin des Klägers den Versicherungsvertrag nicht abgeschlossen hätte, wenn seitens der Beklagten eine Versicherungsdeckung hinsichtlich der vorbe stehenden Arbeitsunfähigkeit des Klägers ausgeschlossen worden wäre. So wäre es ihr aufgrund von Art. 9 VVG auch nicht möglich gewesen, einen anderen Ver sicherer zu finden, der sich verbindlich dazu hätte verpflichten können, diesbe züglich Leistungen zu erbringen. Zudem erfolgten der Vertragsschluss wie auch die Erhöhung der versicherten Lohnsumme zugunsten aller Arbeitnehmer und nicht allein zugunsten des Klägers (vgl. hierzu das sachverhaltsmässig ähnlich gelagerte obgenannte Bundesgerichtsurteil 8C_324/2007 E. 4.2 . 2). Es fehlt somit an einem natürlichen Kausalzusammenhang zwischen der vom Kläger erlittenen finanziellen Einbusse durch die fehlende Versicherungsdeckung und dem Verhal ten der Beklagten. 6.</w:t>
      </w:r>
    </w:p>
    <w:p>
      <w:r>
        <w:t>Zusammenfassend ist der Versicherungsfall, für welchen der Kläger Taggeldleis tun gen verlangt, vor dem Vertragsschluss eingetreten. Aufgrund des Rückwärts versicherungsverbots nach</w:t>
      </w:r>
    </w:p>
    <w:p>
      <w:r>
        <w:t>Art. 9 VVG sind deshalb keine Leistungen geschuldet. Die Voraussetzungen für eine Schadenersatzpflicht aus culpa in contrahendo , die gemäss bundesgerichtlicher Rechtsprechung in solchen Fällen als weitere Rechts grundlage zu prüfen ist, sind nicht gegeben. Die Klage ist folglich abzuweisen. Eine Widerklage wurde nicht erhoben.</w:t>
      </w:r>
    </w:p>
    <w:p>
      <w:r>
        <w:t>D amit</w:t>
      </w:r>
    </w:p>
    <w:p>
      <w:r>
        <w:t>erübrigen sich Ausführungen zur eventualiter von der Beklagten bestritte n en Arbeitsunfähigkeit des Klägers oder zur Höhe des versicherten Verdienstes . Dies betrifft insbesondere auch die</w:t>
      </w:r>
    </w:p>
    <w:p>
      <w:r>
        <w:t>umstrittene Rechtmässigkeit und Notwendig keit d er durchgeführten Observation sowie die Würdigung von deren Ergebnisse n . Auf die Abnahme der von den Parteien diesbezüglich angebotenen weiteren Beweismittel ist zu verzichten . 7.</w:t>
      </w:r>
    </w:p>
    <w:p>
      <w:r>
        <w:rPr>
          <w:b/>
        </w:rPr>
        <w:t>E. 7</w:t>
      </w:r>
    </w:p>
    <w:p>
      <w:r>
        <w:t>der Schweizerischen Zivilprozessordnung; ZPO). Im Kanton Zürich liegt die Zuständigkeit beim Sozialversicherungsgericht ( § 2 Abs. 2 lit . b des Gesetzes über das Sozialversicherungsgericht, GSVGer). Das Verfahren richtet sich ohne Rücksicht auf den Streitwert nach Art. 244 bis 247 ZPO (vereinfachtes Verfahren; Art. 243 Abs. 2 lit . f ZPO). Die Klage wird direkt beim Gericht anhängig gemacht (BGE 138 III 558 E. 3.2 und 4.6).</w:t>
      </w:r>
    </w:p>
    <w:p>
      <w:r>
        <w:t>Die vom Kläger dargelegte örtliche Zuständigkeit des Sozialversicherungsgerichts des Kantons Zürich ( Urk. 1 S. 3) wird von der Beklagten nicht bestritten (vgl. Urk.</w:t>
      </w:r>
    </w:p>
    <w:p>
      <w:r>
        <w:rPr>
          <w:b/>
        </w:rPr>
        <w:t>E. 7.1</w:t>
      </w:r>
    </w:p>
    <w:p>
      <w:r>
        <w:t>Das Verfahren ist kostenlos, da es eine Streitigkeit aus einer Krankentaggeldver sicherung betrifft, welche gemäss bundesgerichtlicher Praxis unter den Begriff der Zusatzversicherung zur sozialen Krankenversicherung (nach dem Bundesge setz vom 1 8. März 1994 über die Krankenversicherung; KVG) zu subsumieren ist (vgl. Art. 114 lit . e ZPO i.V.m. § 33 Abs. 1 GSVGer und das Urteil des Bundesge richts 4A_680/2014 vom 2 9. April 2015 E. 2.1 mit Hinweisen; vgl. auch BGE 142 V 448 E. 4.1).</w:t>
      </w:r>
    </w:p>
    <w:p>
      <w:r>
        <w:rPr>
          <w:b/>
        </w:rPr>
        <w:t>E. 7.2</w:t>
      </w:r>
    </w:p>
    <w:p>
      <w:r>
        <w:t>Aus der Formulierung von Art. 114 ZPO ergibt sich, dass dessen lit . e nur die Gerichtskosten betrifft, nicht aber die Parteientschädigung an die Gegenpartei (Urteil des Bundesgerichtes 4A_194/2010 vom 1 7. November 2010 E. 2.2.1, nicht publiziert in: BGE 137 III 47). Diese umfasst den Ersatz der notwendigen Ausla gen, die Kosten einer berufsmässigen Vertretung sowie in begründeten Fällen eine angemessene Umtriebsentschädigung , wenn eine Partei nicht berufsmässig ver treten ist ( Art. 95 Abs. 3 ZPO).</w:t>
      </w:r>
    </w:p>
    <w:p>
      <w:r>
        <w:t>Nach der zu alt Art . 47 Abs. 3 des Versicherungsaufsichtsgesetzes (VAG) ergan genen, weiterhin gültigen höchstrichterlichen Rechtsprechung hat dabei auch der obsiegende Versicherungsträger Anspruch auf eine Parteientschädigung, falls er durch einen externen Anwalt vertreten ist (Urteile des Bundesgerichtes 4A_194/2010 vom 1 7. November 2010, E. 2.2.1, nicht publiziert in: BGE 137 III</w:t>
      </w:r>
    </w:p>
    <w:p>
      <w:r>
        <w:t>47 ; 5C.244/2000 vom 9. Januar 2001, E. 5 mit Hinweisen ; bestätigt mit Urteil 4A_535/2015 vom 1. Juni 2016 E. 6.4.4 ).</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behörden, den Zivilgerichten und den Strafbehörden. Die Bemessung der Partei entschädigung richtet sich somit nach § 34 GSVGer sowie den § § 1, 6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rPr>
          <w:b/>
        </w:rPr>
        <w:t>E. 7.3</w:t>
      </w:r>
    </w:p>
    <w:p>
      <w:r>
        <w:t>Rechtsanwältin Sidiropoulos, die e xterne Rechtsvertreterin der obsiegenden Beklagten , machte in ihrer Honorarnote vom 7. Oktober 2020 ein en Aufwand von 20 Stunden à Fr. 300.-- zuzüglich Barauslagen von Fr. 86.50 und Mehrwertsteuer geltend ( Urk. 22) . In diesem Zusammenhang kann der Argumentation des Klä gers, wonach er das Rückwärtsversicherungsverbot bei nur unvollständig gewährter Akteneinsicht nicht habe erkennen können , was im Rahmen der Kos tenverteilung im Falle einer Klageabweisu ng zu berücksichtigen sei (Urk.</w:t>
      </w:r>
    </w:p>
    <w:p>
      <w:r>
        <w:rPr>
          <w:b/>
        </w:rPr>
        <w:t>E. 9</w:t>
      </w:r>
    </w:p>
    <w:p>
      <w:r>
        <w:t>S. 3) ist soweit belegt (vgl. Urk.</w:t>
      </w:r>
    </w:p>
    <w:p>
      <w:r>
        <w:rPr>
          <w:b/>
        </w:rPr>
        <w:t>E. 10</w:t>
      </w:r>
    </w:p>
    <w:p>
      <w:r>
        <w:t>/1) und blieb seitens des Klägers unbestritten (vgl. Urk.</w:t>
      </w:r>
    </w:p>
    <w:p>
      <w:r>
        <w:rPr>
          <w:b/>
        </w:rPr>
        <w:t>E. 15</w:t>
      </w:r>
    </w:p>
    <w:p>
      <w:r>
        <w:t>S.</w:t>
      </w:r>
    </w:p>
    <w:p>
      <w:r>
        <w:t>2), nicht gefolgt werden. Mindestens hätte er als Unterzeichner der eingereichten Police ( Urk. 2/3) wissen müssen, dass diese nach Eintritt seiner Arbeitsunfähigkeit abgeschlossen und der Vertragsbeginn rückwärts festgelegt wurde; er hatte daher nicht nur Kenntnis, dass die von ihm unterzeichnete Police eine frühere ersetzte, sondern er hätte auch Anlass dazu gehabt, die erste Police explizit bei der Beklagten oder seiner Arbeitge berin anzufordern.</w:t>
      </w:r>
    </w:p>
    <w:p>
      <w:r>
        <w:t>Indessen ist festzuhalten, dass d er Fall in den wesentlichen Punkten weder recht lich komplex noch im Sachverhalt umstritten ist, was sich auch in sehr kurzen Rechtsschriften niederschlug . Dabei erbrachte die Beklagte zunächst Taggeldleis tungen und berief sich – soweit aus den Akten ersichtlich - erst im Gerichtsver fahren auf das Rückwärtsversicherungsverbot , was dazu beitrug, dass sich der Kläger zu r Klageerhebung veranlasst sah .</w:t>
      </w:r>
    </w:p>
    <w:p>
      <w:r>
        <w:t>Es rechtfertigt sich daher mit Blick auf § 6 Abs. 2 und § 7 Abs. 1 GebV</w:t>
      </w:r>
    </w:p>
    <w:p>
      <w:r>
        <w:t>SVGer nicht , einen Aufwand von mehr als 10 Stunden und einen höhere n Ansatz</w:t>
      </w:r>
    </w:p>
    <w:p>
      <w:r>
        <w:t>als de n gerichtsübliche n</w:t>
      </w:r>
    </w:p>
    <w:p>
      <w:r>
        <w:t>von Fr. 220. -- zu entschädigen . Dementsprechend ist der Beklagten eine Parteien tschädigung von aufgerundet Fr. 2'500.-- (inkl. Barauslagen u nd Mehrwertsteuer)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