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KK.2018.00037 vom 16. Dezember 2019</w:t>
      </w:r>
    </w:p>
    <w:p>
      <w:r>
        <w:t>ZH Sozialversicherungsgericht, 2019-12-16, DE</w:t>
      </w:r>
    </w:p>
    <w:p>
      <w:r>
        <w:rPr>
          <w:b/>
        </w:rPr>
        <w:t xml:space="preserve">Quelle: </w:t>
      </w:r>
      <w:r>
        <w:t>https://mcp.opencaselaw.ch/entscheid/zh_sozialversicherungsgericht_KK.2018.00037</w:t>
      </w:r>
    </w:p>
    <w:p>
      <w:r>
        <w:t>FR: ZH_SOZIALVERSICHERUNGSGERICHT KK.2018.00037 du 16 décembre 2019</w:t>
      </w:r>
    </w:p>
    <w:p>
      <w:r>
        <w:t>IT: ZH_SOZIALVERSICHERUNGSGERICHT KK.2018.00037 del 16 dicembre 2019</w:t>
      </w:r>
    </w:p>
    <w:p>
      <w:pPr>
        <w:pStyle w:val="Heading2"/>
      </w:pPr>
      <w:r>
        <w:t>Erwägungen</w:t>
      </w:r>
    </w:p>
    <w:p>
      <w:r>
        <w:rPr>
          <w:b/>
        </w:rPr>
        <w:t>E. 1.1</w:t>
      </w:r>
    </w:p>
    <w:p>
      <w:r>
        <w:t>Zusatzversicherungen zur sozialen Krankenversicherung nach dem Bundesgesetz über die Krankenversicherung (KVG) unterstehen nach Art. 2 Abs. 2 des Bundes gesetzes betreffend die Aufsicht über die Krankenversicherung (KVAG) dem VVG. Dazu gehören auch Streitigkeiten aus Krankentaggeldversicherungen nach dem VVG (BGE 138 III 2, 558 E. 2). Die Kantone können gestützt auf Art.</w:t>
      </w:r>
    </w:p>
    <w:p>
      <w:r>
        <w:rPr>
          <w:b/>
        </w:rPr>
        <w:t>E. 1.2</w:t>
      </w:r>
    </w:p>
    <w:p>
      <w:r>
        <w:t>Das Gericht stellt den Sachverhalt unabhängig vom Streitwert von Amtes wegen fest (Untersuchungsmaxime; Art. 247 Abs. 2 lit. a ZPO). Der Untersuchungs grundsatz, wonach das Gericht alle rechtserhebli chen Sachverhaltselemente zu berücksichtigen ha t, die sich im Verlaufe des Ver fahrens ergeben, auch wenn die Parteien diese nicht angeführt haben, gilt nicht uneingeschränkt; er findet sein Korrelat in d en Mitwirkungspflichten der Par teien. Er entbindet die Parteien nicht davon, Beweise beizubringen und bei der Erstellung des Sachverhalts mitzuwir ken (BGE 125 III 231 E. 4a; Mazan in: Basler Kommentar zur Schweizerischen Zivilprozessordnung, 2. Auflage, 2013, N 9 und N 13 zu Art. 247). Ebenso schliesst er die antizipierte Beweiswürdigung nicht aus (Urteil des Bundesgerichts 5C.206/2006 vom 9. November 2006 E. 2.1) und ver leiht den Parteien keinen Anspruch, dass alle möglichen Beweise abgenommen werden, und auch keinen Anspruch auf ein be stimmtes Beweismittel (BGE 125 III 231; Urteil des Bundes gerichts 5C.34/2006 vom 2 7. Juni 2006 E. 2a). Ausserdem gilt die Dispositions maxime. Danach darf das Gericht einer Partei nicht mehr und nichts anderes zusprechen, als sie verlangt, und nicht weniger, als die Gegenseite anerkannt hat ( Art. 58 ZPO; Urteil des Bundesgerichts 4A_138/2013 vom 2 7. Juni 2013 E. 6).</w:t>
      </w:r>
    </w:p>
    <w:p>
      <w:r>
        <w:rPr>
          <w:b/>
        </w:rPr>
        <w:t>E. 1.3</w:t>
      </w:r>
    </w:p>
    <w:p>
      <w:r>
        <w:t>Wo das Gesetz es nicht anders bestimmt, hat gemäss Art.</w:t>
      </w:r>
    </w:p>
    <w:p>
      <w:r>
        <w:rPr>
          <w:b/>
        </w:rPr>
        <w:t>E. 1.4</w:t>
      </w:r>
    </w:p>
    <w:p>
      <w:r>
        <w:t>Als Teil des Privatrechts räumt das VVG den Pa rteien weitgehende Vertragsfrei heit ein, solange sie die Schranken der Rechtsordnung beachten und sich der Vertragsinhalt regelmässig nach den vorform ulierten Allgemeinen Vertragsbe dingungen richtet (Iten, Der private Versicherungsvertrag: Der Antrag und das Antragsverhältnis unter Ausschluss der Anzeigepflicht, Freiburg 1999, S. 23). Art. 100 Abs. 1 VVG erklärt sodann die Bestimmungen des Obligationenrechts (OR) als anwendbar, soweit das VVG keine Vorschriften enthält.</w:t>
      </w:r>
    </w:p>
    <w:p>
      <w:r>
        <w:rPr>
          <w:b/>
        </w:rPr>
        <w:t>E. 1.5</w:t>
      </w:r>
    </w:p>
    <w:p>
      <w:r>
        <w:t>Bei der Auslegung eines (Versicherungs-)Vertrages ist zu beachten, dass Indivi -dualabreden in der Regel vorformulierten Vertragsbestimmungen vorgehen (BGE 93 II 326 E. 4b, 123 III 44 E. 2c/ bb ; Fuhrer , in: Basler Kommentar zum Bundes gesetz über den Versicherungsvertrag, 2001, N 77 ff. zu Art. 33). Im Übrigen sind vorformulierte Vertragsbestimmungen und individuell verfasste Vertragsklauseln grundsätzlich nach den gleichen Regeln auszulegen (BGE 135 III 1 E. 2, 135 III 410 E. 3.2). Somit bestimmt sich der Inhalt in er ster Linie nach dem übereinstim menden wirklichen Parteiwillen ( Art. 18 Abs. 1 OR). Wenn dieser unbewiesen bleibt, sind zur Ermittlung des mutmasslichen Parteiwillens die Erklärungen der Parteien aufgrund des Vertrauensprinzips so auszulegen, wie sie nach den ge samten Umständen verstanden we rden durften und mussten (vgl. BGE 133 III 675 E. 3.3; zum Ganzen: Urteil des Bundesgerichts 5C.271/2004 vom 1 2. Juli 2005 E. 2; vgl. auch Urteil des Bundesgerichts 4A_41/2012 vom 3 1. Mai 2012 E. 3.3 mit Hinweisen).</w:t>
      </w:r>
    </w:p>
    <w:p>
      <w:r>
        <w:t>Dabei ist vom Wortlaut der Erklärungen auszugehen, welche jedoch nicht isoliert, sondern aus ihrem konkreten Sinngefüge hera us zu beurteilen sind (BGE 140 III 391 E. 2.3; 138 III 659 E. 4.2.1; 123 III 165 E. 3a). Demnach ist der vom Erklä renden verfolgte Regelungszweck massgebend, wie ihn der Erklärungsempfänger in guten Treuen verstehen durfte und musste (BGE 140 III 391 E. 2.3; 138 III 659 E. 4.2.1; 132 III 24 E. 4; Urteil des Bundesgerichts 4A_10/2016 vom 8. September 2016 E. 3.3). Bei vorformulierten Vertragsbestimmungen gelangt zudem die Unklarheitenregel zur Anwendung, sofern die übrigen Auslegungsmittel versa gen. Danach sind mehrdeutige Wendungen in vorformulierten Vertragsbedingun gen im Zweifel zu Lasten jener Partei auszulegen, welche sie verfasst hat (BGE 122 III 118 E. 2a; 124 III 155 E. 1b; Urteil des Bundesgerichts 4A_84/ 2012 vom 2 9. Juni 2012 E. 4.1).</w:t>
      </w:r>
    </w:p>
    <w:p>
      <w:r>
        <w:rPr>
          <w:b/>
        </w:rPr>
        <w:t>E. 1.6.1</w:t>
      </w:r>
    </w:p>
    <w:p>
      <w:r>
        <w:t>Art. 38 VVG bestimmt, dass der Anspruchsberechtigte nach Eintritt des befürchteten Ereignisses den Versicherer benachrichtigen muss, sobald er von diesem Ereignis und seinem Anspruch aus der Versicherung Kenntnis erlangt (Abs. 1). Gemäss Abs. 2 dieser Bestimmung ist, wenn der Anspruchsberechtigte die Anzei gepflicht schuldhafterweise verletzt hat, der Versicherer befugt, die Ent schädi gung um den Betrag zu kürzen, um den sie sich bei rechtzeitiger Anzeige gemin dert haben würde. In Abs. 3 dieser Bestimmung ist geregelt, dass der Ver sicherer an den Vertrag nicht gebunden ist, wenn der Anspruchsberechtigte die unver zügliche Anzeige in der Absicht unterlassen hat, den Versicherer an der rechtzei tigen Feststellung der Umstände, unter denen das befürchtete Ereignis eingetreten ist, zu hindern.</w:t>
      </w:r>
    </w:p>
    <w:p>
      <w:r>
        <w:rPr>
          <w:b/>
        </w:rPr>
        <w:t>E. 1.6.2</w:t>
      </w:r>
    </w:p>
    <w:p>
      <w:r>
        <w:t>Die unverschuldete Verletzung der Anzeigepflicht bleibt nach Art. 38 Abs. 2 VVG dagegen ohne nachteilige Rechtsfolgen. Zwar enthält diese Bestimmung disposi tives Recht; aber die zwingende Norm von Art. 45 VVG untersagt die vertragliche Vereinbarung von Rechtsnachteilen bei unverschuldeter Verl etzung von Oblie genheiten ( Nef, Basler Kommentar zum VVG, Basel 2001, Art. 38 N 15).</w:t>
      </w:r>
    </w:p>
    <w:p>
      <w:r>
        <w:t>Wenn den Anspruchsberechtigten für die Verletzung der Anzeigepflicht ein Ver schulden trifft, ist der Versicherer nach Art. 38 Abs. 2 VVG berechtigt, die Ent schädigung um den Betrag zu kürzen, um den sie sich bei rechtzeitiger Anzeige vermindert haben würde. Die Ermächtigung des Gesetzgebers enthält also zwei Einschränkungen: Er gesteht dem Versicherer bloss ein Kürzungsrecht zu. Es ist zudem an die Voraussetzung geknüpft, dass die Versicherungsleistung bei recht zeitiger Anzeige kleiner gewesen wäre. Das Unterlassen der Anzeige muss sich daher auf den Umfang der Leistungspflicht ausgewirkt haben. Diesen Kausalzu sammenhang aufzuzeigen ist Sache des Versicherers, welchem auch die Beweis pflicht für die Anzeigepflichtverletzung obliegt. Der Nachweis, den das Gesetz vom Versicherer für die Kürzung der Versicherungsleistung verlangt, ist schwie rig zu führen. Die Versicherungsbedingungen sehen deshalb regelmässig stren gere Vereinbarungen vor. Art. 38 VVG enthält dispositives Recht. Die Schaden anzeigepflicht kann daher bezüglich Inhalt und Rechtsfolgen schuldhafter Anzei gepflichtverletzungen verschärft oder gemildert werden. Mithin dürfen Versiche rungsverträge beispielsweise Verwirkungsklauseln enthalten, nach deren Mass gabe bei unbenutztem Ablauf der Anzeigefrist der Anspruch auf die Versiche rungsleistung erlischt ( Nef, a.a.O., Art. 38 N 16 f. ; BGE 115 II 88; Urteil des Bun desgerichts 4C.314/1992 vom 11. Dezember 2001 E. 5b).</w:t>
      </w:r>
    </w:p>
    <w:p>
      <w:r>
        <w:rPr>
          <w:b/>
        </w:rPr>
        <w:t>E. 1.7</w:t>
      </w:r>
    </w:p>
    <w:p>
      <w:r>
        <w:t>Gemäss Art. 20.1 AVB hat der Versicherungsnehmer oder der Versicherte, wenn eine Arbeitsunfähigkeit Anspruch auf Leistungen ergeben kann, der Beklagten innert 30 Tagen nach Beginn der Arbeitsunfähigkeit und ungeachtet der verein barten Wartefrist Meldung zu erstatten. Sollten sich aus der Nichterfüllung dieser Verpflichtung bedeute nde nachteilige Auswirkungen erg eben, so behält sich die Beklagte gemäss dieser Bestimmung das Recht vor, ihre Leistungen zu kürzen oder ganz zu verweigern ( Urk. 13/2 S. 14). 2.</w:t>
      </w:r>
    </w:p>
    <w:p>
      <w:r>
        <w:t>2.1</w:t>
      </w:r>
    </w:p>
    <w:p>
      <w:r>
        <w:t>Gegenstand der Klage ist der vom Kläger geltend gemachte Anspruch auf Kran kentaggelder vom 7. November 2016 bis 3 0. Oktober 2018 im Betrag von Fr. 139'659.60 zuzü glich 5 % Verzugszins en ( Urk. 6). 2.2</w:t>
      </w:r>
    </w:p>
    <w:p>
      <w:r>
        <w:t>Der Kläger l ässt seine Forderung in der Klageschrift vom 3 0. Oktober 2018 zusammengefasst damit begründen, dass er sowohl von Dr. Z.___ seit dem Unfall vom 2 9. Juni 2016 als auch von seinem behandelnden Psychiater zu 100 % arbeitsunfähig geschrieben worden sei . Dem von der Beklagten eingehol ten Gutachten der A.___ komme schon deshalb kein Beweiswert zu, weil es sich um ein Parteigutachten handle. Ausserdem lägen widersprechende Facharztbe richte vor, weshalb die Einholung eines Gerichtsgutachtens angezeigt sei ( Urk. 1 S. 4 ff.).</w:t>
      </w:r>
    </w:p>
    <w:p>
      <w:r>
        <w:t>Mit der Replik lässt er zudem im Wesentlichen geltend machen, dass im Zeitpunkt der Meldung der Arbeitsunfähigkeit gegenüber der Beklagten am 1 2. September 2017, mithin neun Monate nach der Leistungseinstellung durch die SWICA, noch nicht rechtskräftig darüber entschieden worden sei, ob Krankheits- oder Unfall folgen vorlägen. Daher habe er unabhängig von Art. 20.1 AVB ( Urk. 13/2) keine Veranlassung gehabt, der Beklagten die Arbeitsunfähigkeit früher zu melden. Hinzu komme, dass diese Klausel in den AVB ungültig sei, habe er doch keinen Einfluss auf den Versicherungsabschluss gehabt und damit auch keine Möglich keit der Kenn tnisnahme der AVB . Hieran habe auch die telefonische Information der SWICA vom 2 3. November 2016 nichts geändert, habe er doch diese sprach lich nicht verstanden und auch nicht erkennen können, dass es sich um ein unerlässliches Erfordernis für den Leistungsbezug handle. Zudem wäre die Be klagte gemäss Art. 20.8 der AVB erst 14 Tage nach der schriftlichen Mahnung von ihrer Verpflichtung befreit gewesen ( Urk. 23 S. 2 ff.). In der Eingabe vom 7. Juni 2019 lässt er unter anderem wiederholen, dass für die Meldefrist nach Art. 20.1 AVB der Zeitpunkt einer rechtskräftigen Einstellung der UVG-Taggelder massgebend sei ( Urk. 29 S. 4). 2.3</w:t>
      </w:r>
    </w:p>
    <w:p>
      <w:r>
        <w:t>Die Beklagte bestreitet ihre Leistungspflicht im Wesentlichen damit, dass der Klä ger, indem e r nach der Einstellung der UVG-Leistungen durch die SWICA per 7. November 2016 neun Monate zugewartet habe , bis er den Krankheitsfall gemeldet habe, klar seine vertragliche Meldepflicht gemäss Art. 20.1 AVB verletzt habe. Die verspätete Anmeldung habe die aktive Überprüfung der Rechtmässig keit der gestellten Ansprüche verunmöglicht , weshalb keine Taggelder auszurich te n seien ( Urk.</w:t>
      </w:r>
    </w:p>
    <w:p>
      <w:r>
        <w:rPr>
          <w:b/>
        </w:rPr>
        <w:t>E. 6</w:t>
      </w:r>
    </w:p>
    <w:p>
      <w:r>
        <w:t>links. Die SWICA als zuständiger Unfallversicherer erbrachte die gesetzli chen Leistungen. Am 7. November 2016 teilte sie dem Versicherten mit, dass ab 7. November 2016 infolge Erreichens des Status quo sine vel ante kein Leistungs anspruch mehr aus der Unfallversicherung bestehe. Hieran hielt sie mit Verfü gung vom 1 5. Dezember 2016 und Einspracheentscheid vom 1 7. August 2017 fest . Die gegen letzteren Entscheid erhobene Beschwerde des Versicherten vom 1 8. September 201</w:t>
      </w:r>
    </w:p>
    <w:p>
      <w:r>
        <w:rPr>
          <w:b/>
        </w:rPr>
        <w:t>E. 7</w:t>
      </w:r>
    </w:p>
    <w:p>
      <w:r>
        <w:t>der Schwei zerischen Zivilprozessordnung (ZPO) ein Gericht bezeichnen, welches als einzige kantonale Instanz für Streitigkeiten in diesem Gebiet sachlich zuständig ist. Im Kanton Zürich liegt die Zuständigkeit beim Sozialversicherungsgericht ( § 2 Abs. 2 lit. b des Gesetzes über das Sozialversich erungsgericht, GSVGer ).</w:t>
      </w:r>
    </w:p>
    <w:p>
      <w:r>
        <w:t>Das Ver fahren richtet sich nach der ZPO, wobei das vereinfachte V erfahren zur Anwen dung gelangt ( Art. 243 Abs. 2 lit. f ZPO) und die Klage direkt beim Sozi alversi cherungsgericht, mithin ohne vorgängiges Schlichtungsverfahren anhän gig zu machen ist (BGE 138 III 558 E. 3.2 und E. 4.6).</w:t>
      </w:r>
    </w:p>
    <w:p>
      <w:r>
        <w:t>Die sachliche und örtliche Zuständigkeit des hiesigen Gerichts zur Beurteilung der eingereichten Klage ist unstrittig gegeben.</w:t>
      </w:r>
    </w:p>
    <w:p>
      <w:r>
        <w:rPr>
          <w:b/>
        </w:rPr>
        <w:t>E. 8</w:t>
      </w:r>
    </w:p>
    <w:p>
      <w:r>
        <w:t>ZGB beim Versicherer liegt (Praxis 80/1991 Nr. 230, E. 3b). Gelingt es dem Versicherer im Rahmen des ihm zustehenden Gegen bewei ses, an der Sachdarstellung des Anspruchsberechtigten erhebliche Zweifel zu wecken, so ist der Hauptbeweis des Anspruchsberechtigten gescheitert (BGE 130 III 321 E. 3.5).</w:t>
      </w:r>
    </w:p>
    <w:p>
      <w:r>
        <w:rPr>
          <w:b/>
        </w:rPr>
        <w:t>E. 8.3</w:t>
      </w:r>
    </w:p>
    <w:p>
      <w:r>
        <w:t>AVB zur Einreichung einer ärztlichen Bestätigung der Arbeitsunfähigkeit nach. Jedoch findet sich in den von der Beklagten eingeholten Akten der Unfall versicherung (vgl. Urk. 13/9) eine Aktenbeurteilung d es beratenden Arztes Dr. C.___ , Facharzt FMH für Allgemein- und Unfallch irurgie, vom 7. November 2016 ( Urk. 20 / 11/84-87), in welcher dieser sich dafür aussprach, dass die Beurteilung der Arbeitsfähigkeit des Klägers in der Tätigkeit als Backwa renverkäufer aufgrund der aktuell vorliegenden Akten nicht sicher beurteilt wer den könne. Dr. C.___ ging aber davon aus, dass die Arbeitsfähigkeit in dieser Tätigkeit unterdessen wieder</w:t>
      </w:r>
    </w:p>
    <w:p>
      <w:r>
        <w:t>gegeben sei ( Urk. 10/11/86). Diese für den Eintritt des Versicherungsfalles am 2 3. Dezember 2016 gestützt auf die damalige Akten lage erstellte</w:t>
      </w:r>
    </w:p>
    <w:p>
      <w:r>
        <w:t>Beurteilung der Arbeitsfähigkeit stellt den mit dem Arbeitsunfähig keitszeugnis von Dr. Z.___ vom 6. September 2017 e rbrachten Hauptbeweis ernsthaft in Frage, auch wenn es sich dabei um eine blosse Aktenbeurteilung handelt. 4.8</w:t>
      </w:r>
    </w:p>
    <w:p>
      <w:r>
        <w:t>Aufgrund der erst am 1 2. September 2017 erfolgten Anmeldung zum Taggeldbe zug ( Urk. 13/3) war es der Beklagten , wie von ihr zu Recht geltend gemacht ( Urk.</w:t>
      </w:r>
    </w:p>
    <w:p>
      <w:r>
        <w:rPr>
          <w:b/>
        </w:rPr>
        <w:t>E. 12</w:t>
      </w:r>
    </w:p>
    <w:p>
      <w:r>
        <w:t>S. 2 ) , nicht möglich, eine sofortige Bearbei tung des Falles anhand zu nehmen , mithin zeitnah abzuklären, ob der Versicherungsfall bis zum Auflösen des Arbeitsverhältnisses per 3 1. Dezember 2016 eingetreten ist.</w:t>
      </w:r>
    </w:p>
    <w:p>
      <w:r>
        <w:t>Die nachträgliche n Abklärung en</w:t>
      </w:r>
    </w:p>
    <w:p>
      <w:r>
        <w:t>durch die Beklagte wie auch die übrige medizi nische Aktenlage lassen den Schluss auf das Vorliegen einer Arbeitsunfähigkeit vom 2 3. Dezember 2016 bis zur Auflösung des Arbeitsverhältnisses per 3 1. Dezember 2016 und darüber hinaus</w:t>
      </w:r>
    </w:p>
    <w:p>
      <w:r>
        <w:t>nicht mit dem Grad der überwiegenden Wahrscheinlichkeit zu:</w:t>
      </w:r>
    </w:p>
    <w:p>
      <w:r>
        <w:t>So</w:t>
      </w:r>
    </w:p>
    <w:p>
      <w:r>
        <w:t>findet sich zwar im Bericht von Dr. D.___ , Fach arzt FMH für Neurologie ,</w:t>
      </w:r>
    </w:p>
    <w:p>
      <w:r>
        <w:t>der Klinik</w:t>
      </w:r>
    </w:p>
    <w:p>
      <w:r>
        <w:t>E.___ , vom 1 4. Juni 2017 der Hinweis auf eine hochgradige Arbeitsrelevanz der c hronischen Nackenschmerzen mit Arbeitsunfähigkeit seit einem Jahr ( Urk.</w:t>
      </w:r>
    </w:p>
    <w:p>
      <w:r>
        <w:rPr>
          <w:b/>
        </w:rPr>
        <w:t>E. 12.4</w:t>
      </w:r>
    </w:p>
    <w:p>
      <w:r>
        <w:t>AVB berufen kann. Damit entfällt ein Leistungsanspruch bereits gestützt auf die allge meinen beweisrechtlichen Regeln. 4.10</w:t>
      </w:r>
    </w:p>
    <w:p>
      <w:r>
        <w:t>Zudem erweist sich auch die Verweigerung der Leistungen gestützt auf</w:t>
      </w:r>
    </w:p>
    <w:p>
      <w:r>
        <w:t>Art. 20.1 AVB</w:t>
      </w:r>
    </w:p>
    <w:p>
      <w:r>
        <w:t>im Lichte der obigen Erwägungen als rechtens. Wie unter E. 1 .6.2 erwähnt, dürfen Versicherungsbedingungen gemäss bundesgerichtlicher Rechtsprechung Verwirkungsklauseln enthalten, nach deren Massgabe bei unbenutztem Ablauf der Anzeigefrist der Anspruch auf die Versicherungsleistung gänzlich erlischt (BGE 115 II 88; 74 II 91) . Bei der in Art. 20.1 AVB postulierten gänzlichen oder teilweisen Verwirkungsfolge im Falle bedeutender nachteiliger Auswirkungen der Anzeigepflichtverletzung ( Urk. 13/ 2 S. 14) handelt es sich im Falle einer verschul deten Verletzung der Meldepflicht denn auch nicht um eine ungewöhnliche oder unklare Erklä rung. Vielmehr steht diese im Dienst der berechtigten Interessen des Versicherers, welcher die näheren Umstände des Falles sofort abklären will, um möglichst schnell festzustellen, ob der Versicherte grundsätzlich berechtigt e oder unberechtigte Ansprüche stellt (Nef, a.a.O., Art. 38 N 1). De r Kläger, d e r die AVB global übernommen hat (vgl. obige E. 3.2.2), musste auch diese Bestimmung in guten Treuen so verstehen (vgl. obige E. 1.5), dass er zumindest für die von ihm schuldhaft versursachten Schwierigkeiten in der sofortigen Abklärung seiner Ansprüche einzustehen hat.</w:t>
      </w:r>
    </w:p>
    <w:p>
      <w:r>
        <w:t>Mit dem vertragswidrigen Verhalten, der schuldhaften Anzeigepflichtverletzung, erschwerte der Kläger die zeitnahe Schadensermittlung durch die Beklagte und ist damit kausal dafür verantwortlich, dass die Begründung des Versicherungs falles bis Ende 2016 nicht mit überwiegender Wahrscheinlichkeit erstellt werden konnte. Entsprechend durfte ihm die Beklagte die sich hieraus resultierenden bedeutenden nachteiligen Auswirkungen in der Beweislage im Sinne von Art. 20.1 AVB zurechnen und ihre Leistungen ganz verweigern.</w:t>
      </w:r>
    </w:p>
    <w:p>
      <w:r>
        <w:t>Art. 20.8 der AVB , wonach die Beklagte im Falle, dass ein Versicherungsnehmer oder ein Versicherter aus eigenem Verschulden eine der ihnen gemäss den vor stehenden Bestimmungen obliegenden Verpflichtungen verletzt, 14 Tage nach der schriftlichen Mahnung von ihren Verpflichtungen befreit ist ( Urk. 13/2 S. 14 ), ist, wie von der Beklagten zu Recht geltend gemacht ( Urk. 25 S. 2), im Sinngefüge von Art. 20 AVB ohne Weiteres so zu verstehen, dass diese Bestimmung auf die Pflichten des Versicherten wie die Einreichung der notwendigen Unterlagen gemäss Art. 20.2 AVB oder die Durchführung einer im Rahmen der Schadenmin derungspflicht auferlegten medizinischen Behandlung gemäss Art. 20.5 AVB Anwendung findet, nicht aber auf Art. 20.1 AVB. Eine Mahnung gemäss Art. 20.8 AVB könnte im Falle einer Verletzung der Anzeigepflicht einzig dann in Betracht fallen und Sinn machen, wenn die Beklagte vor der verspäteten Anzeige sichere Kenntnis vom Schadenfall hatte. Eine derartige Konstellation ist aber weder auf grund der Akten noch der Parteivorbringen anzunehmen.</w:t>
      </w:r>
    </w:p>
    <w:p>
      <w:r>
        <w:t>Nach dem Gesagten ist die Klage abzuweisen. 5. 5.1</w:t>
      </w:r>
    </w:p>
    <w:p>
      <w:r>
        <w:t>Gemäss Art. 114 lit. e ZPO ist das Verfahren kostenlos. Zu den Prozesskosten gehören die Gerichtskosten und die Parteientschädigung ( Art. 95 Abs. 1 ZPO). Aus der Formulierung von Art. 114 ZPO ergibt sich, dass dessen lit. e nur die Gerichtskosten betrifft, nicht aber die Prozessentschädigung an die Gegenpartei (Urteil des Bundesgerichtes 4A_194/2010 vom 1 7. November 2010, E. 2.1 nicht publiziert in: BGE 137 III 47). Diese umfasst den Ersatz der notwendigen Ausla gen, die Kosten einer berufsmässigen Vertretung sowie in begründeten Fällen eine angemessene Umtriebsentschädigung , wenn eine Partei nicht berufsmässig ver treten ist ( Art. 95 Abs. 3 ZPO). 5.2</w:t>
      </w:r>
    </w:p>
    <w:p>
      <w:r>
        <w:t>Die Kantone sind zuständig, die Tarife für die Prozesskosten festzusetzen ( Art. 96 ZPO). Das zürcherische Ausführungsgesetz zur ZPO, das GOG, enthält keine für das Sozialversicherungsgericht anwendbare Tarifbestimmung (vgl. 7. Teil des GOG). Dasselbe gilt für die Verordnung über die Anwaltsgebühren (LS 215.3). Diese regelt ausdrücklich nur die Parteientschädigungen vor den Schlichtungs behörden, den Zivilgerichten und den Strafbehörden. Die Bemessung der Partei entschädigung richtet sich somit nach § 34 Gesetz über das Sozialversicherungs gericht ( GSVGer ) sowie den § § 1, 5 und 7 der Verordnung über die Gebühren, Kosten und Entschädigungen vor dem Sozialversicherungsgericht ( GebV SVGer). Gemäss § 34 Abs. 1 GSVGer ist die Höhe der gerichtlich festzusetzenden Entschä digung nach der Bedeutung der Streitsache, der Schwierigkeit des Prozesses und dem Mass des Obsiegens, jedoch ohne Rücksicht auf den Streitwert festzusetzen. 5.3</w:t>
      </w:r>
    </w:p>
    <w:p>
      <w:r>
        <w:t>5.3.1</w:t>
      </w:r>
    </w:p>
    <w:p>
      <w:r>
        <w:t>Die Beklagte verzichtete in Nachachtung der bundesgerichtlichen Rechtspre chung, wonach dem nicht anwaltlich vertretenen Ve rsicherungsträger grundsätz lich keine Parteientschädigung zusteht (Urteil des Bundesgerichts 4A_109/2013 vom 2 7. August 2013 E. 5), auf einen Antrag auf Zusprechung einer Entschädi gung ( Urk. 12 S. 3). 5.3.2</w:t>
      </w:r>
    </w:p>
    <w:p>
      <w:r>
        <w:t>Dem unentgeltlich vertretenen Kläger, welcher auf die Einreichung einer Kosten note verzichtet hat (vgl. Hinweis zur Möglichkeit der Einreichung einer Kosten note und die Festsetzung der Entschädigung nach Ermessen im Unterlassungsfall, in: Urk. 26 S. 2), ist in Anwendung obiger Grundsätze eine Prozessentschädigung von Fr. 4’0 00.-- (inklusive Barauslagen und Mehrwertsteuer) zuzusprechen.</w:t>
      </w:r>
    </w:p>
    <w:p>
      <w:r>
        <w:t>Der Kläger ist auf die Nachzahlungspflicht gemäss § 16 Abs. 4 GSVGer</w:t>
      </w:r>
    </w:p>
    <w:p>
      <w:r>
        <w:t>hinzu weisen. Die Entschädigung ist der unentgeltlichen Rechtsbeiständin auszuzahlen (Urteil des Bundesgerichts 5A_754/2013 vom 4. Februar 2014 E. 5). Das Gericht erkennt:</w:t>
      </w:r>
    </w:p>
    <w:p>
      <w:r>
        <w:rPr>
          <w:b/>
        </w:rPr>
        <w:t>E. 13</w:t>
      </w:r>
    </w:p>
    <w:p>
      <w:r>
        <w:t>/11c). D abei scheint es sich jedoch weniger um eine Beurteilung der Arbeitsfähigkeit zu handeln, denn um eine Über nahme anamnestischer Angaben. Jedenfalls begründete</w:t>
      </w:r>
    </w:p>
    <w:p>
      <w:r>
        <w:t>Dr. D.___ diese Angabe nicht und setzte sich auch nicht mit den medizinischen Vo rakten ausei nander, weshalb sich</w:t>
      </w:r>
    </w:p>
    <w:p>
      <w:r>
        <w:t>gestützt auf seine Angaben d ie Annahme einer Arbeitsun fähigkei t vom 2 3. bis 3 1. Dezember 2016, respektive das Gelingen des diesbezüg lichen Hauptbeweises durch den Kläger nicht rechtfertigt. Auch lässt die Beant wortung des Fragenkatalogs der Beklagten durch Dr. Z.___ im Schreiben v om 4. Dezember 2017 ( Urk. 13/11 ) die durch Dr. C.___ genährten Zweifel an der Arbe itsunfähigkeit nicht entfallen . Dies gilt umso mehr , als d ie zuständigen Teilgutachter/ die zuständige Teilgutachterin im Gutachten de r</w:t>
      </w:r>
    </w:p>
    <w:p>
      <w:r>
        <w:t>A.___</w:t>
      </w:r>
    </w:p>
    <w:p>
      <w:r>
        <w:t>sich am 8. März 2018</w:t>
      </w:r>
    </w:p>
    <w:p>
      <w:r>
        <w:t>gestützt auf die dannzumal erhobenen klinischen Befunde und die medizinischen Akten allesamt gegen eine Einschränkung in der Arbeitsfä higkeit aus sprachen ( Urk. 13/14a S. 10, 13/14b S. 13 f. , Urk. 13/14c S. 11 f.).</w:t>
      </w:r>
    </w:p>
    <w:p>
      <w:r>
        <w:t>Auch wenn es sich beim Gutachten der</w:t>
      </w:r>
    </w:p>
    <w:p>
      <w:r>
        <w:t>A.___ um ein Parteigutachten handelt (vgl. diesbe zügliche Vorbringen des Klägers, in: Urk. 1 S. 9), so ist ihm doch insofern Bedeu tung beizumessen, als es Zweifel an der behaupteten Arbeitsunfähigkeit aufkom men lässt oder wach hält; es ist nicht notwendig, dass das Gericht von der Rich tigkeit des Parteigutachtens überzeugt ist ( BGE 141 III 433</w:t>
      </w:r>
    </w:p>
    <w:p>
      <w:r>
        <w:t>E. 2.6 ).</w:t>
      </w:r>
    </w:p>
    <w:p>
      <w:r>
        <w:t>Was den psychischen Gesundheitszustand des Kläger s anbelangt, attestier t en</w:t>
      </w:r>
    </w:p>
    <w:p>
      <w:r>
        <w:t>Dr. F.___ , Facharzt FMH für Psychiatrie und Psychotherapie, und der Psy chologe G.___ , in einem Bericht zu Handen der IV-Stelle vom 3 0. Mai 2018 im Gegensatz zu Dr. H.___ , Facharzt für Psy c h iatrie und Psychothera pie, im Teilgutachten des A.___ vom 8. März 2018 ( Urk. 13/14c) eine seit 5. Januar 2017 bestehende Arbeitsunfähigkeit bei mittelgradiger depressiver Epi sode mit somatischen Beschwerden gemäss ICD-10 F32.1 und chronischen Nacken- und Rückenschmerzen ( Urk. 20/21/1 ff.).</w:t>
      </w:r>
    </w:p>
    <w:p>
      <w:r>
        <w:t>Abgesehen davon, dass der Kläger in seiner Meldung vom 1 2. September 2017 lediglich Nacken- und Kopfschmerzen sowie Gefühlsstörungen im linken Bein, nicht aber psychische Beschwerden erwähnte ( Urk. 13/3) , stand er gemäss Anam nese im p sychiatrischen Teilgutachten der</w:t>
      </w:r>
    </w:p>
    <w:p>
      <w:r>
        <w:t>A.___ vom 8. März 2018 erst seit zwei Monaten in psychiatrischer Behandlung ( Urk. 13/14c S. 2). Dies korrespon diert mit den Angaben des Klägers in der Anmeldung zum Leistungsbezug bei der Invalidenversicherung vom 1 1. Oktober 2017, führte er doch darin w eder Dr. F.___ als behandelnden Psychiater noch G.___ als behandelnden Psychologen auf ( Urk. 20/6/7).</w:t>
      </w:r>
    </w:p>
    <w:p>
      <w:r>
        <w:t>Im Bericht von Dr. F.___ und G.___ wird der Behandlungsbeginn wie auch der Beginn der Arbeitsunfähigkeit dagegen auf den 5. Januar 2017 datiert ( Urk. 20/21/2) , was grundsätzliche Zweifel an der Zuverlässigkeit ihrer</w:t>
      </w:r>
    </w:p>
    <w:p>
      <w:r>
        <w:t>Angaben aufkommen lässt . Angesichts dessen, dass Dr. F.___ und der Psychologe G.___ ohnehin keine Angaben zur Arbeitsfähigkeit des Klägers in der Zeit bis 3 1. Dezember 2016 mach t en, können weitere A bklärungen hierzu aber unterbleiben.</w:t>
      </w:r>
    </w:p>
    <w:p>
      <w:r>
        <w:t>Letztlich kann auch aus dem Umstand, dass s ich der Kläger am 2 2. Mai 2018 im Trauma Zentrum der Klinik B.___ einer operativen Revision der Diskusher nie mit foraminaler Stenose C5/ C 6 unterzog ( Urk. 2/10), nicht rückwirkend auf eine krankheitsbedingte Arbeitsunfähigkeit in der Zeit vom 2 3. bis 3 1. Dezember 2016 geschlossen werden , zumal d ie von den Gutachterpersonen der</w:t>
      </w:r>
    </w:p>
    <w:p>
      <w:r>
        <w:t>A.___ am 1. März 2018 erhobenen klinischen Befunde nicht auf eine Einschränkung in der Arbeitsfähigkeit schliessen liessen ( Urk. 13/14a S. 11 f., 13/14b S. 12 f., 13/4c S. 10 f.). 4.9</w:t>
      </w:r>
    </w:p>
    <w:p>
      <w:r>
        <w:t>Zusammenfassend ist damit festzuhalten, dass dem Kläger der Beweis hinsichtlich des Eintritts einer krankheitsbedingten Arbeitsunfähigkeit bis zur Auflösung sei nes Arbeitsvertrags mit der Y.___ GmbH per 3 1. Dezember 2016 nicht gelingt. Die Folgen der Beweislosi gkeit hat der Kläger, welchem diesbezüg lich der Hauptbeweis obliegt (vgl. obige E. 1.3), zu tragen. Da sich gestützt auf die aktuelle Aktenlage eine Arbeitsunfähigkeit in der Zeit vom 2 3. Dezember bis 3 1. Dezember 2016 nicht mit überwiegender Wahrscheinlichkeit feststellen lässt und auf weitere Beweisabnahmen in antizipierter Beweiswürdigung (vgl. zur Zulässigkeit derselben: Urteil des Bundesgerichts 5C.34/2006 vom 2 7. Juni 2006 E. 2.1) zu verzichten ist, nachdem sich der Gesundheitszustand des Klägers mit der operativen Sanierung der Diskushernie vom 2 2. Mai 2018 ohnehin in einer Weise verändert hat, welcher beweiswertige Rückschlüsse auf den gesundheitli chen Zustand Ende 2016 kaum mehr zulässt, gelingt es dem Kläger nicht, den Eintritt des Versicherungsfalls bis Ende 2016 zu beweisen.</w:t>
      </w:r>
    </w:p>
    <w:p>
      <w:r>
        <w:t>Entsprechend erlischt der Versicherungsschutz gemäss Art. 6 AVB , ohne dass sich der Kläger auf eine Ausdehnung der Leistungspflicht gemäss 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